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1" w:type="dxa"/>
        <w:jc w:val="center"/>
        <w:tblCellMar>
          <w:left w:w="70" w:type="dxa"/>
          <w:right w:w="70" w:type="dxa"/>
        </w:tblCellMar>
        <w:tblLook w:val="0000" w:firstRow="0" w:lastRow="0" w:firstColumn="0" w:lastColumn="0" w:noHBand="0" w:noVBand="0"/>
      </w:tblPr>
      <w:tblGrid>
        <w:gridCol w:w="3258"/>
        <w:gridCol w:w="3262"/>
        <w:gridCol w:w="3021"/>
      </w:tblGrid>
      <w:tr w:rsidR="002D1549" w:rsidRPr="00A77CC7">
        <w:trPr>
          <w:trHeight w:val="1440"/>
          <w:jc w:val="center"/>
        </w:trPr>
        <w:tc>
          <w:tcPr>
            <w:tcW w:w="3258" w:type="dxa"/>
            <w:tcBorders>
              <w:top w:val="nil"/>
              <w:left w:val="nil"/>
              <w:bottom w:val="nil"/>
              <w:right w:val="nil"/>
            </w:tcBorders>
            <w:vAlign w:val="center"/>
          </w:tcPr>
          <w:p w:rsidR="002D1549" w:rsidRPr="00A77CC7" w:rsidRDefault="00A77CC7">
            <w:pPr>
              <w:jc w:val="center"/>
              <w:rPr>
                <w:b/>
                <w:bCs/>
                <w:sz w:val="26"/>
                <w:szCs w:val="26"/>
              </w:rPr>
            </w:pPr>
            <w:r w:rsidRPr="00A77CC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
                  <v:imagedata r:id="rId6" o:title="Logo FAI CISL per carta  intestata unitaria"/>
                </v:shape>
              </w:pict>
            </w:r>
          </w:p>
        </w:tc>
        <w:tc>
          <w:tcPr>
            <w:tcW w:w="3262" w:type="dxa"/>
            <w:tcBorders>
              <w:top w:val="nil"/>
              <w:left w:val="nil"/>
              <w:bottom w:val="nil"/>
              <w:right w:val="nil"/>
            </w:tcBorders>
            <w:vAlign w:val="center"/>
          </w:tcPr>
          <w:p w:rsidR="002D1549" w:rsidRPr="00A77CC7" w:rsidRDefault="00A77CC7">
            <w:pPr>
              <w:jc w:val="center"/>
              <w:rPr>
                <w:b/>
                <w:bCs/>
                <w:sz w:val="26"/>
                <w:szCs w:val="26"/>
              </w:rPr>
            </w:pPr>
            <w:r w:rsidRPr="00A77CC7">
              <w:fldChar w:fldCharType="begin"/>
            </w:r>
            <w:r w:rsidRPr="00A77CC7">
              <w:instrText xml:space="preserve"> </w:instrText>
            </w:r>
            <w:r w:rsidRPr="00A77CC7">
              <w:instrText>INCLUDEPICTURE  "\\\\Server02\\EBerlenghi\\Documenti\\LCRISCI\\Impostazioni locali\\Temp\\C.Lotus.Notes.Data\\- flaicgil 1.jpg" \* MERGEFORMATINET</w:instrText>
            </w:r>
            <w:r w:rsidRPr="00A77CC7">
              <w:instrText xml:space="preserve"> </w:instrText>
            </w:r>
            <w:r w:rsidRPr="00A77CC7">
              <w:fldChar w:fldCharType="separate"/>
            </w:r>
            <w:r w:rsidRPr="00A77CC7">
              <w:pict>
                <v:shape id="_x0000_i1026" type="#_x0000_t75" style="width:30pt;height:39pt">
                  <v:imagedata r:id="rId7" r:href="rId8"/>
                </v:shape>
              </w:pict>
            </w:r>
            <w:r w:rsidRPr="00A77CC7">
              <w:fldChar w:fldCharType="end"/>
            </w:r>
          </w:p>
        </w:tc>
        <w:tc>
          <w:tcPr>
            <w:tcW w:w="3021" w:type="dxa"/>
            <w:tcBorders>
              <w:top w:val="nil"/>
              <w:left w:val="nil"/>
              <w:bottom w:val="nil"/>
              <w:right w:val="nil"/>
            </w:tcBorders>
            <w:vAlign w:val="center"/>
          </w:tcPr>
          <w:p w:rsidR="002D1549" w:rsidRPr="00A77CC7" w:rsidRDefault="00A77CC7">
            <w:pPr>
              <w:pStyle w:val="Titolo1"/>
              <w:jc w:val="center"/>
            </w:pPr>
            <w:r w:rsidRPr="00A77CC7">
              <w:pict>
                <v:shape id="_x0000_i1027" type="#_x0000_t75" style="width:62.25pt;height:33pt">
                  <v:imagedata r:id="rId9" o:title="logo uila carta"/>
                </v:shape>
              </w:pict>
            </w:r>
          </w:p>
        </w:tc>
      </w:tr>
      <w:tr w:rsidR="002D1549" w:rsidRPr="00A77CC7">
        <w:trPr>
          <w:trHeight w:val="263"/>
          <w:jc w:val="center"/>
        </w:trPr>
        <w:tc>
          <w:tcPr>
            <w:tcW w:w="3258" w:type="dxa"/>
            <w:tcBorders>
              <w:top w:val="nil"/>
              <w:left w:val="nil"/>
              <w:bottom w:val="nil"/>
              <w:right w:val="nil"/>
            </w:tcBorders>
          </w:tcPr>
          <w:p w:rsidR="002D1549" w:rsidRPr="00A77CC7" w:rsidRDefault="002D1549">
            <w:pPr>
              <w:jc w:val="center"/>
              <w:rPr>
                <w:sz w:val="20"/>
                <w:szCs w:val="20"/>
              </w:rPr>
            </w:pPr>
          </w:p>
        </w:tc>
        <w:tc>
          <w:tcPr>
            <w:tcW w:w="3262" w:type="dxa"/>
            <w:tcBorders>
              <w:top w:val="nil"/>
              <w:left w:val="nil"/>
              <w:bottom w:val="nil"/>
              <w:right w:val="nil"/>
            </w:tcBorders>
          </w:tcPr>
          <w:p w:rsidR="002D1549" w:rsidRPr="00A77CC7" w:rsidRDefault="002D1549">
            <w:pPr>
              <w:jc w:val="center"/>
              <w:rPr>
                <w:sz w:val="20"/>
                <w:szCs w:val="20"/>
              </w:rPr>
            </w:pPr>
          </w:p>
        </w:tc>
        <w:tc>
          <w:tcPr>
            <w:tcW w:w="3021" w:type="dxa"/>
            <w:tcBorders>
              <w:top w:val="nil"/>
              <w:left w:val="nil"/>
              <w:bottom w:val="nil"/>
              <w:right w:val="nil"/>
            </w:tcBorders>
          </w:tcPr>
          <w:p w:rsidR="002D1549" w:rsidRPr="00A77CC7" w:rsidRDefault="002D1549">
            <w:pPr>
              <w:jc w:val="center"/>
              <w:rPr>
                <w:sz w:val="20"/>
                <w:szCs w:val="20"/>
              </w:rPr>
            </w:pPr>
          </w:p>
        </w:tc>
      </w:tr>
      <w:tr w:rsidR="002D1549" w:rsidRPr="00A77CC7">
        <w:trPr>
          <w:trHeight w:val="263"/>
          <w:jc w:val="center"/>
        </w:trPr>
        <w:tc>
          <w:tcPr>
            <w:tcW w:w="3258" w:type="dxa"/>
            <w:tcBorders>
              <w:top w:val="nil"/>
              <w:left w:val="nil"/>
              <w:bottom w:val="nil"/>
              <w:right w:val="nil"/>
            </w:tcBorders>
          </w:tcPr>
          <w:p w:rsidR="002D1549" w:rsidRPr="00A77CC7" w:rsidRDefault="002D1549">
            <w:pPr>
              <w:jc w:val="center"/>
            </w:pPr>
            <w:r w:rsidRPr="00A77CC7">
              <w:rPr>
                <w:sz w:val="20"/>
                <w:szCs w:val="20"/>
              </w:rPr>
              <w:t>Via A. Tadino n°23</w:t>
            </w:r>
          </w:p>
        </w:tc>
        <w:tc>
          <w:tcPr>
            <w:tcW w:w="3262" w:type="dxa"/>
            <w:tcBorders>
              <w:top w:val="nil"/>
              <w:left w:val="nil"/>
              <w:bottom w:val="nil"/>
              <w:right w:val="nil"/>
            </w:tcBorders>
          </w:tcPr>
          <w:p w:rsidR="002D1549" w:rsidRPr="00A77CC7" w:rsidRDefault="002D1549">
            <w:pPr>
              <w:jc w:val="center"/>
              <w:rPr>
                <w:sz w:val="20"/>
                <w:szCs w:val="20"/>
              </w:rPr>
            </w:pPr>
            <w:r w:rsidRPr="00A77CC7">
              <w:rPr>
                <w:sz w:val="20"/>
                <w:szCs w:val="20"/>
              </w:rPr>
              <w:t>C.so di Porta Vittoria 43</w:t>
            </w:r>
          </w:p>
        </w:tc>
        <w:tc>
          <w:tcPr>
            <w:tcW w:w="3021" w:type="dxa"/>
            <w:tcBorders>
              <w:top w:val="nil"/>
              <w:left w:val="nil"/>
              <w:bottom w:val="nil"/>
              <w:right w:val="nil"/>
            </w:tcBorders>
          </w:tcPr>
          <w:p w:rsidR="002D1549" w:rsidRPr="00A77CC7" w:rsidRDefault="002D1549">
            <w:pPr>
              <w:jc w:val="center"/>
            </w:pPr>
            <w:r w:rsidRPr="00A77CC7">
              <w:rPr>
                <w:sz w:val="20"/>
                <w:szCs w:val="20"/>
              </w:rPr>
              <w:t>V.le Marelli , 497</w:t>
            </w:r>
          </w:p>
        </w:tc>
      </w:tr>
      <w:tr w:rsidR="002D1549" w:rsidRPr="00A77CC7">
        <w:trPr>
          <w:trHeight w:val="280"/>
          <w:jc w:val="center"/>
        </w:trPr>
        <w:tc>
          <w:tcPr>
            <w:tcW w:w="3258" w:type="dxa"/>
            <w:tcBorders>
              <w:top w:val="nil"/>
              <w:left w:val="nil"/>
              <w:bottom w:val="nil"/>
              <w:right w:val="nil"/>
            </w:tcBorders>
          </w:tcPr>
          <w:p w:rsidR="002D1549" w:rsidRPr="00A77CC7" w:rsidRDefault="002D1549">
            <w:pPr>
              <w:jc w:val="center"/>
            </w:pPr>
            <w:r w:rsidRPr="00A77CC7">
              <w:rPr>
                <w:sz w:val="20"/>
                <w:szCs w:val="20"/>
              </w:rPr>
              <w:t>20124 Milano</w:t>
            </w:r>
          </w:p>
        </w:tc>
        <w:tc>
          <w:tcPr>
            <w:tcW w:w="3262" w:type="dxa"/>
            <w:tcBorders>
              <w:top w:val="nil"/>
              <w:left w:val="nil"/>
              <w:bottom w:val="nil"/>
              <w:right w:val="nil"/>
            </w:tcBorders>
          </w:tcPr>
          <w:p w:rsidR="002D1549" w:rsidRPr="00A77CC7" w:rsidRDefault="002D1549">
            <w:pPr>
              <w:jc w:val="center"/>
            </w:pPr>
            <w:r w:rsidRPr="00A77CC7">
              <w:rPr>
                <w:sz w:val="20"/>
                <w:szCs w:val="20"/>
              </w:rPr>
              <w:t>20122 Milano</w:t>
            </w:r>
          </w:p>
        </w:tc>
        <w:tc>
          <w:tcPr>
            <w:tcW w:w="3021" w:type="dxa"/>
            <w:tcBorders>
              <w:top w:val="nil"/>
              <w:left w:val="nil"/>
              <w:bottom w:val="nil"/>
              <w:right w:val="nil"/>
            </w:tcBorders>
          </w:tcPr>
          <w:p w:rsidR="002D1549" w:rsidRPr="00A77CC7" w:rsidRDefault="002D1549">
            <w:pPr>
              <w:jc w:val="center"/>
            </w:pPr>
            <w:r w:rsidRPr="00A77CC7">
              <w:rPr>
                <w:sz w:val="20"/>
                <w:szCs w:val="20"/>
              </w:rPr>
              <w:t>20099 Sesto S.G.</w:t>
            </w:r>
          </w:p>
        </w:tc>
      </w:tr>
      <w:tr w:rsidR="002D1549" w:rsidRPr="00A77CC7">
        <w:trPr>
          <w:trHeight w:val="263"/>
          <w:jc w:val="center"/>
        </w:trPr>
        <w:tc>
          <w:tcPr>
            <w:tcW w:w="3258" w:type="dxa"/>
            <w:tcBorders>
              <w:top w:val="nil"/>
              <w:left w:val="nil"/>
              <w:bottom w:val="nil"/>
              <w:right w:val="nil"/>
            </w:tcBorders>
          </w:tcPr>
          <w:p w:rsidR="002D1549" w:rsidRPr="00A77CC7" w:rsidRDefault="002D1549">
            <w:pPr>
              <w:jc w:val="center"/>
              <w:rPr>
                <w:lang w:val="en-GB"/>
              </w:rPr>
            </w:pPr>
            <w:r w:rsidRPr="00A77CC7">
              <w:rPr>
                <w:sz w:val="20"/>
                <w:szCs w:val="20"/>
                <w:lang w:val="en-GB"/>
              </w:rPr>
              <w:t>Tel. 02/20525651</w:t>
            </w:r>
          </w:p>
        </w:tc>
        <w:tc>
          <w:tcPr>
            <w:tcW w:w="3262" w:type="dxa"/>
            <w:tcBorders>
              <w:top w:val="nil"/>
              <w:left w:val="nil"/>
              <w:bottom w:val="nil"/>
              <w:right w:val="nil"/>
            </w:tcBorders>
          </w:tcPr>
          <w:p w:rsidR="002D1549" w:rsidRPr="00A77CC7" w:rsidRDefault="002D1549">
            <w:pPr>
              <w:jc w:val="center"/>
              <w:rPr>
                <w:sz w:val="20"/>
                <w:szCs w:val="20"/>
                <w:lang w:val="en-GB"/>
              </w:rPr>
            </w:pPr>
            <w:r w:rsidRPr="00A77CC7">
              <w:rPr>
                <w:sz w:val="20"/>
                <w:szCs w:val="20"/>
                <w:lang w:val="en-GB"/>
              </w:rPr>
              <w:t xml:space="preserve">Tel. 02/55025270 </w:t>
            </w:r>
          </w:p>
        </w:tc>
        <w:tc>
          <w:tcPr>
            <w:tcW w:w="3021" w:type="dxa"/>
            <w:tcBorders>
              <w:top w:val="nil"/>
              <w:left w:val="nil"/>
              <w:bottom w:val="nil"/>
              <w:right w:val="nil"/>
            </w:tcBorders>
          </w:tcPr>
          <w:p w:rsidR="002D1549" w:rsidRPr="00A77CC7" w:rsidRDefault="002D1549">
            <w:pPr>
              <w:jc w:val="center"/>
              <w:rPr>
                <w:lang w:val="en-GB"/>
              </w:rPr>
            </w:pPr>
            <w:r w:rsidRPr="00A77CC7">
              <w:rPr>
                <w:sz w:val="20"/>
                <w:szCs w:val="20"/>
                <w:lang w:val="en-GB"/>
              </w:rPr>
              <w:t>Tel. 02/262491</w:t>
            </w:r>
          </w:p>
        </w:tc>
      </w:tr>
      <w:tr w:rsidR="002D1549" w:rsidRPr="00A77CC7">
        <w:trPr>
          <w:trHeight w:val="273"/>
          <w:jc w:val="center"/>
        </w:trPr>
        <w:tc>
          <w:tcPr>
            <w:tcW w:w="3258" w:type="dxa"/>
            <w:tcBorders>
              <w:top w:val="nil"/>
              <w:left w:val="nil"/>
              <w:bottom w:val="nil"/>
              <w:right w:val="nil"/>
            </w:tcBorders>
          </w:tcPr>
          <w:p w:rsidR="002D1549" w:rsidRPr="00A77CC7" w:rsidRDefault="002D1549">
            <w:pPr>
              <w:jc w:val="center"/>
              <w:rPr>
                <w:lang w:val="en-GB"/>
              </w:rPr>
            </w:pPr>
            <w:r w:rsidRPr="00A77CC7">
              <w:rPr>
                <w:sz w:val="20"/>
                <w:szCs w:val="20"/>
                <w:lang w:val="en-GB"/>
              </w:rPr>
              <w:t>Fax 02/20405804</w:t>
            </w:r>
          </w:p>
        </w:tc>
        <w:tc>
          <w:tcPr>
            <w:tcW w:w="3262" w:type="dxa"/>
            <w:tcBorders>
              <w:top w:val="nil"/>
              <w:left w:val="nil"/>
              <w:bottom w:val="nil"/>
              <w:right w:val="nil"/>
            </w:tcBorders>
          </w:tcPr>
          <w:p w:rsidR="002D1549" w:rsidRPr="00A77CC7" w:rsidRDefault="002D1549">
            <w:pPr>
              <w:jc w:val="center"/>
            </w:pPr>
            <w:r w:rsidRPr="00A77CC7">
              <w:rPr>
                <w:sz w:val="20"/>
                <w:szCs w:val="20"/>
              </w:rPr>
              <w:t>Fax 02/59900684</w:t>
            </w:r>
          </w:p>
        </w:tc>
        <w:tc>
          <w:tcPr>
            <w:tcW w:w="3021" w:type="dxa"/>
            <w:tcBorders>
              <w:top w:val="nil"/>
              <w:left w:val="nil"/>
              <w:bottom w:val="nil"/>
              <w:right w:val="nil"/>
            </w:tcBorders>
          </w:tcPr>
          <w:p w:rsidR="002D1549" w:rsidRPr="00A77CC7" w:rsidRDefault="002D1549">
            <w:pPr>
              <w:jc w:val="center"/>
            </w:pPr>
            <w:r w:rsidRPr="00A77CC7">
              <w:rPr>
                <w:sz w:val="20"/>
                <w:szCs w:val="20"/>
              </w:rPr>
              <w:t>Fax 02/2485766</w:t>
            </w:r>
          </w:p>
        </w:tc>
      </w:tr>
    </w:tbl>
    <w:p w:rsidR="002D1549" w:rsidRDefault="002D1549">
      <w:pPr>
        <w:pStyle w:val="Elenco"/>
        <w:spacing w:after="0"/>
      </w:pPr>
    </w:p>
    <w:p w:rsidR="002D1549" w:rsidRDefault="002D1549">
      <w:pPr>
        <w:pStyle w:val="Elenco"/>
        <w:spacing w:after="0"/>
      </w:pPr>
    </w:p>
    <w:p w:rsidR="002D1549" w:rsidRDefault="002D1549" w:rsidP="00A77CC7">
      <w:pPr>
        <w:spacing w:after="0" w:line="240" w:lineRule="auto"/>
        <w:ind w:left="-142"/>
        <w:jc w:val="both"/>
        <w:rPr>
          <w:b/>
          <w:bCs/>
          <w:color w:val="C00000"/>
          <w:sz w:val="36"/>
          <w:szCs w:val="36"/>
        </w:rPr>
      </w:pPr>
      <w:r>
        <w:rPr>
          <w:b/>
          <w:bCs/>
          <w:color w:val="C00000"/>
          <w:sz w:val="36"/>
          <w:szCs w:val="36"/>
        </w:rPr>
        <w:t xml:space="preserve">GIOCHI ASSURDI SUI SUPERMINIMI  </w:t>
      </w:r>
      <w:r w:rsidR="00A77CC7">
        <w:rPr>
          <w:b/>
          <w:bCs/>
          <w:color w:val="C00000"/>
          <w:sz w:val="36"/>
          <w:szCs w:val="36"/>
        </w:rPr>
        <w:t>E</w:t>
      </w:r>
      <w:r>
        <w:rPr>
          <w:b/>
          <w:bCs/>
          <w:color w:val="C00000"/>
          <w:sz w:val="36"/>
          <w:szCs w:val="36"/>
        </w:rPr>
        <w:t xml:space="preserve">  GRAVI FORZATURE OCCUPAZIONALI NEI SITI PRODUTTIVI.  </w:t>
      </w:r>
      <w:r w:rsidR="00A77CC7">
        <w:rPr>
          <w:b/>
          <w:bCs/>
          <w:color w:val="C00000"/>
          <w:sz w:val="36"/>
          <w:szCs w:val="36"/>
        </w:rPr>
        <w:t>D</w:t>
      </w:r>
      <w:r>
        <w:rPr>
          <w:b/>
          <w:bCs/>
          <w:color w:val="C00000"/>
          <w:sz w:val="36"/>
          <w:szCs w:val="36"/>
        </w:rPr>
        <w:t>OVE STA ANDANDO LA NESTLE’ ?</w:t>
      </w:r>
    </w:p>
    <w:p w:rsidR="00A77CC7" w:rsidRDefault="00A77CC7" w:rsidP="00A77CC7">
      <w:pPr>
        <w:spacing w:after="0" w:line="240" w:lineRule="auto"/>
        <w:jc w:val="both"/>
        <w:rPr>
          <w:b/>
          <w:bCs/>
          <w:color w:val="C00000"/>
          <w:sz w:val="36"/>
          <w:szCs w:val="36"/>
        </w:rPr>
      </w:pPr>
    </w:p>
    <w:p w:rsidR="002D1549" w:rsidRDefault="002D1549">
      <w:pPr>
        <w:ind w:left="-142"/>
        <w:jc w:val="both"/>
        <w:rPr>
          <w:rFonts w:ascii="Times New Roman" w:hAnsi="Times New Roman" w:cs="Times New Roman"/>
          <w:sz w:val="24"/>
          <w:szCs w:val="24"/>
        </w:rPr>
      </w:pPr>
      <w:r>
        <w:rPr>
          <w:sz w:val="24"/>
          <w:szCs w:val="24"/>
        </w:rPr>
        <w:t xml:space="preserve">Le RSU di </w:t>
      </w:r>
      <w:proofErr w:type="spellStart"/>
      <w:r>
        <w:rPr>
          <w:sz w:val="24"/>
          <w:szCs w:val="24"/>
        </w:rPr>
        <w:t>Sanpellegrino</w:t>
      </w:r>
      <w:proofErr w:type="spellEnd"/>
      <w:r>
        <w:rPr>
          <w:sz w:val="24"/>
          <w:szCs w:val="24"/>
        </w:rPr>
        <w:t xml:space="preserve"> e Nestlé, le organizzazioni sindacali territoriali Fai-</w:t>
      </w:r>
      <w:proofErr w:type="spellStart"/>
      <w:r>
        <w:rPr>
          <w:sz w:val="24"/>
          <w:szCs w:val="24"/>
        </w:rPr>
        <w:t>Flai</w:t>
      </w:r>
      <w:proofErr w:type="spellEnd"/>
      <w:r>
        <w:rPr>
          <w:sz w:val="24"/>
          <w:szCs w:val="24"/>
        </w:rPr>
        <w:t>-Uila insieme ai  lavoratori della sede di Assago restano sconcertati dalle scelte che il gruppo dirigente della Nestlé sta compiendo in materia di assetti occupazionali,  politiche retributive e applicazione degli accordi.</w:t>
      </w:r>
    </w:p>
    <w:p w:rsidR="002D1549" w:rsidRDefault="002D1549">
      <w:pPr>
        <w:ind w:left="-142"/>
        <w:jc w:val="both"/>
        <w:rPr>
          <w:rFonts w:ascii="Times New Roman" w:hAnsi="Times New Roman" w:cs="Times New Roman"/>
          <w:sz w:val="24"/>
          <w:szCs w:val="24"/>
        </w:rPr>
      </w:pPr>
      <w:r>
        <w:rPr>
          <w:sz w:val="24"/>
          <w:szCs w:val="24"/>
        </w:rPr>
        <w:t>La Nestlé è la prima</w:t>
      </w:r>
      <w:r>
        <w:rPr>
          <w:rFonts w:ascii="Times New Roman" w:hAnsi="Times New Roman" w:cs="Times New Roman"/>
          <w:sz w:val="24"/>
          <w:szCs w:val="24"/>
        </w:rPr>
        <w:t>,</w:t>
      </w:r>
      <w:r>
        <w:rPr>
          <w:sz w:val="24"/>
          <w:szCs w:val="24"/>
        </w:rPr>
        <w:t xml:space="preserve"> e per il momento l’unica azienda, che ha proceduto nell’Aprile del 2013, attraverso l’assorbimento di una pari quota dei superminimi individuali, alla neutralizzazione degli effetti degli incrementi retributivi previsti da Contratto Collettivo Nazionale di lavoro</w:t>
      </w:r>
      <w:r>
        <w:rPr>
          <w:rFonts w:ascii="Times New Roman" w:hAnsi="Times New Roman" w:cs="Times New Roman"/>
          <w:sz w:val="24"/>
          <w:szCs w:val="24"/>
        </w:rPr>
        <w:t>.</w:t>
      </w:r>
    </w:p>
    <w:p w:rsidR="002D1549" w:rsidRDefault="002D1549">
      <w:pPr>
        <w:ind w:left="-142"/>
        <w:jc w:val="both"/>
        <w:rPr>
          <w:rFonts w:ascii="Times New Roman" w:hAnsi="Times New Roman" w:cs="Times New Roman"/>
          <w:sz w:val="24"/>
          <w:szCs w:val="24"/>
        </w:rPr>
      </w:pPr>
      <w:r>
        <w:rPr>
          <w:sz w:val="24"/>
          <w:szCs w:val="24"/>
        </w:rPr>
        <w:t>Un’operazione illegittima  che Nestlé intende replicare con l’incremento del CCNL  previsto per   Maggio 2014  e che ha obbligato alcuni lavoratori  ad avviare ricorsi legali.</w:t>
      </w:r>
    </w:p>
    <w:p w:rsidR="002D1549" w:rsidRDefault="002D1549">
      <w:pPr>
        <w:ind w:left="-142"/>
        <w:jc w:val="both"/>
        <w:rPr>
          <w:sz w:val="24"/>
          <w:szCs w:val="24"/>
        </w:rPr>
      </w:pPr>
      <w:r>
        <w:rPr>
          <w:sz w:val="24"/>
          <w:szCs w:val="24"/>
        </w:rPr>
        <w:t xml:space="preserve">La precaria situazione economica e di mercato che si sta attraversando il settore alimentare  sta diventando per Nestlé un pretesto e un comodo alibi per recuperare risorse  a danno dei lavoratori e rilanciare politiche retributive discrezionali dell’azienda. </w:t>
      </w:r>
    </w:p>
    <w:p w:rsidR="002D1549" w:rsidRDefault="002D1549">
      <w:pPr>
        <w:ind w:left="-142"/>
        <w:jc w:val="both"/>
        <w:rPr>
          <w:sz w:val="24"/>
          <w:szCs w:val="24"/>
        </w:rPr>
      </w:pPr>
      <w:r>
        <w:rPr>
          <w:sz w:val="24"/>
          <w:szCs w:val="24"/>
        </w:rPr>
        <w:t xml:space="preserve">Crea sconcerto  e lascia senza parole che in </w:t>
      </w:r>
      <w:proofErr w:type="spellStart"/>
      <w:r>
        <w:rPr>
          <w:sz w:val="24"/>
          <w:szCs w:val="24"/>
        </w:rPr>
        <w:t>Sanpellegrino</w:t>
      </w:r>
      <w:proofErr w:type="spellEnd"/>
      <w:r>
        <w:rPr>
          <w:rFonts w:ascii="Times New Roman" w:hAnsi="Times New Roman" w:cs="Times New Roman"/>
          <w:sz w:val="24"/>
          <w:szCs w:val="24"/>
        </w:rPr>
        <w:t xml:space="preserve"> e </w:t>
      </w:r>
      <w:r>
        <w:rPr>
          <w:sz w:val="24"/>
          <w:szCs w:val="24"/>
        </w:rPr>
        <w:t xml:space="preserve">nelle altre divisioni </w:t>
      </w:r>
      <w:proofErr w:type="spellStart"/>
      <w:r>
        <w:rPr>
          <w:sz w:val="24"/>
          <w:szCs w:val="24"/>
        </w:rPr>
        <w:t>Nestlè</w:t>
      </w:r>
      <w:proofErr w:type="spellEnd"/>
      <w:r>
        <w:rPr>
          <w:sz w:val="24"/>
          <w:szCs w:val="24"/>
        </w:rPr>
        <w:t>,   l’azienda contestualmente stia erogando a pioggia , nel  corso per il 2014,  un nuovo incremento  dei superminimi della stessa entità dell’aumento del CCNL, con il vincolo esplicito che tale aumento  individuale debba essere assorbito in corrispondenza con l’  incremento  del CCNL  del Maggio 2014.</w:t>
      </w:r>
    </w:p>
    <w:p w:rsidR="002D1549" w:rsidRDefault="002D1549">
      <w:pPr>
        <w:ind w:left="-142"/>
        <w:jc w:val="both"/>
        <w:rPr>
          <w:sz w:val="24"/>
          <w:szCs w:val="24"/>
        </w:rPr>
      </w:pPr>
      <w:r>
        <w:rPr>
          <w:sz w:val="24"/>
          <w:szCs w:val="24"/>
        </w:rPr>
        <w:t>Tutti si chiedono se allora  non sarebbe stato più semplice, lineare e logico non dar luogo all’assorbimento dei superminimi ?</w:t>
      </w:r>
    </w:p>
    <w:p w:rsidR="002D1549" w:rsidRDefault="002D1549">
      <w:pPr>
        <w:ind w:left="-142"/>
        <w:jc w:val="both"/>
        <w:rPr>
          <w:rFonts w:ascii="Times New Roman" w:hAnsi="Times New Roman" w:cs="Times New Roman"/>
          <w:sz w:val="24"/>
          <w:szCs w:val="24"/>
        </w:rPr>
      </w:pPr>
      <w:r>
        <w:rPr>
          <w:sz w:val="24"/>
          <w:szCs w:val="24"/>
        </w:rPr>
        <w:t>E’ allora evidente che non è vero che all’azienda  mancano i soldi per gli aumenti del CCNL</w:t>
      </w:r>
      <w:r>
        <w:rPr>
          <w:rFonts w:ascii="Times New Roman" w:hAnsi="Times New Roman" w:cs="Times New Roman"/>
          <w:sz w:val="24"/>
          <w:szCs w:val="24"/>
        </w:rPr>
        <w:t>.</w:t>
      </w:r>
    </w:p>
    <w:p w:rsidR="002D1549" w:rsidRDefault="002D1549">
      <w:pPr>
        <w:ind w:left="-142"/>
        <w:jc w:val="both"/>
        <w:rPr>
          <w:sz w:val="24"/>
          <w:szCs w:val="24"/>
        </w:rPr>
      </w:pPr>
      <w:r>
        <w:rPr>
          <w:sz w:val="24"/>
          <w:szCs w:val="24"/>
        </w:rPr>
        <w:t>Queste manovre, apparentemente caotiche e contraddittorie, se da un lato mitigano il danno economico degli assorbimento per la trance d’aumento del CCNL del  2014,  che l’azienda ha annunciato di   realizzare, per un altro verso si prefiggono di :</w:t>
      </w:r>
    </w:p>
    <w:p w:rsidR="002D1549" w:rsidRDefault="002D1549">
      <w:pPr>
        <w:ind w:left="-142"/>
        <w:jc w:val="both"/>
        <w:rPr>
          <w:sz w:val="24"/>
          <w:szCs w:val="24"/>
        </w:rPr>
      </w:pPr>
    </w:p>
    <w:p w:rsidR="002D1549" w:rsidRDefault="002D1549">
      <w:pPr>
        <w:ind w:left="-142"/>
        <w:jc w:val="both"/>
        <w:rPr>
          <w:sz w:val="24"/>
          <w:szCs w:val="24"/>
        </w:rPr>
      </w:pPr>
    </w:p>
    <w:p w:rsidR="002D1549" w:rsidRDefault="002D1549">
      <w:pPr>
        <w:pStyle w:val="Paragrafoelenco"/>
        <w:numPr>
          <w:ilvl w:val="0"/>
          <w:numId w:val="1"/>
        </w:numPr>
        <w:jc w:val="both"/>
        <w:rPr>
          <w:sz w:val="24"/>
          <w:szCs w:val="24"/>
        </w:rPr>
      </w:pPr>
      <w:r>
        <w:rPr>
          <w:sz w:val="24"/>
          <w:szCs w:val="24"/>
        </w:rPr>
        <w:lastRenderedPageBreak/>
        <w:t>costituire un precedente per rendere più facilmente assorbibile tutto il montante  dei superminimi sedimentato e consolidato  negli anni passati con un possibile  effetto retroattivo, ciò anche con lo scopo di tentare di  pregiudicare la  possibilità di  future  vertenze legali e di quelle già in atto aperte da alcuni lavoratori sul trascorso  assorbimento;</w:t>
      </w:r>
    </w:p>
    <w:p w:rsidR="002D1549" w:rsidRDefault="002D1549">
      <w:pPr>
        <w:pStyle w:val="Paragrafoelenco"/>
        <w:numPr>
          <w:ilvl w:val="0"/>
          <w:numId w:val="1"/>
        </w:numPr>
        <w:jc w:val="both"/>
        <w:rPr>
          <w:sz w:val="24"/>
          <w:szCs w:val="24"/>
        </w:rPr>
      </w:pPr>
      <w:r>
        <w:rPr>
          <w:sz w:val="24"/>
          <w:szCs w:val="24"/>
        </w:rPr>
        <w:t>poter gestire equivalenti valori economici corrispondenti agli incrementi del CCNL</w:t>
      </w:r>
      <w:r>
        <w:rPr>
          <w:rFonts w:ascii="Times New Roman" w:hAnsi="Times New Roman" w:cs="Times New Roman"/>
          <w:sz w:val="24"/>
          <w:szCs w:val="24"/>
        </w:rPr>
        <w:t>,</w:t>
      </w:r>
      <w:r>
        <w:rPr>
          <w:sz w:val="24"/>
          <w:szCs w:val="24"/>
        </w:rPr>
        <w:t xml:space="preserve"> per interventi aziendali discrezionali a titolo individuale,  non pattuiti contrattualmente e collettivamente ciò per  delegittimare il sindacato e far percepire in modo distorto e differito gli effetti dell’azione contrattuale  del sindacato;</w:t>
      </w:r>
    </w:p>
    <w:p w:rsidR="002D1549" w:rsidRDefault="002D1549">
      <w:pPr>
        <w:ind w:left="-142"/>
        <w:jc w:val="both"/>
        <w:rPr>
          <w:sz w:val="24"/>
          <w:szCs w:val="24"/>
        </w:rPr>
      </w:pPr>
    </w:p>
    <w:p w:rsidR="002D1549" w:rsidRDefault="002D1549">
      <w:pPr>
        <w:ind w:left="-142"/>
        <w:jc w:val="both"/>
        <w:rPr>
          <w:rFonts w:ascii="Times New Roman" w:hAnsi="Times New Roman" w:cs="Times New Roman"/>
          <w:sz w:val="24"/>
          <w:szCs w:val="24"/>
        </w:rPr>
      </w:pPr>
      <w:r>
        <w:rPr>
          <w:sz w:val="24"/>
          <w:szCs w:val="24"/>
        </w:rPr>
        <w:t xml:space="preserve">Nestlé vuole un lavoratore più individualizzato e isolato e lasciato a se stesso nella gestione del rapporto di lavoro con l’azienda, da qui l’indeterminatezza, la revocabilità e discrezionalità gestionale  da parte aziendale di diversi  istituti contrattuali di sede quali: Smart </w:t>
      </w:r>
      <w:proofErr w:type="spellStart"/>
      <w:r>
        <w:rPr>
          <w:sz w:val="24"/>
          <w:szCs w:val="24"/>
        </w:rPr>
        <w:t>Working</w:t>
      </w:r>
      <w:proofErr w:type="spellEnd"/>
      <w:r>
        <w:rPr>
          <w:sz w:val="24"/>
          <w:szCs w:val="24"/>
        </w:rPr>
        <w:t>,  Part Time, Telelavoro, Lavoro Agile e norme sull’ Indisposizione.</w:t>
      </w:r>
    </w:p>
    <w:p w:rsidR="002D1549" w:rsidRDefault="002D1549">
      <w:pPr>
        <w:ind w:left="-142"/>
        <w:jc w:val="both"/>
        <w:rPr>
          <w:sz w:val="24"/>
          <w:szCs w:val="24"/>
        </w:rPr>
      </w:pPr>
      <w:r>
        <w:rPr>
          <w:sz w:val="24"/>
          <w:szCs w:val="24"/>
        </w:rPr>
        <w:t xml:space="preserve">Stiamo misurando una  </w:t>
      </w:r>
      <w:proofErr w:type="spellStart"/>
      <w:r>
        <w:rPr>
          <w:sz w:val="24"/>
          <w:szCs w:val="24"/>
        </w:rPr>
        <w:t>Nestlè</w:t>
      </w:r>
      <w:proofErr w:type="spellEnd"/>
      <w:r>
        <w:rPr>
          <w:sz w:val="24"/>
          <w:szCs w:val="24"/>
        </w:rPr>
        <w:t xml:space="preserve"> più arrogante che in Sede più in generale lavora per una logica di  “gestione ad </w:t>
      </w:r>
      <w:proofErr w:type="spellStart"/>
      <w:r>
        <w:rPr>
          <w:sz w:val="24"/>
          <w:szCs w:val="24"/>
        </w:rPr>
        <w:t>personam</w:t>
      </w:r>
      <w:proofErr w:type="spellEnd"/>
      <w:r>
        <w:rPr>
          <w:sz w:val="24"/>
          <w:szCs w:val="24"/>
        </w:rPr>
        <w:t>”  delle norme  contrattuali,  dove il diritto del singolo, in termini ricattatori, può essere  prescritto dall’azienda, in un percorso dove i diritti cessano di essere tali per trasformarsi in liberalità aziendali  individuali.</w:t>
      </w:r>
    </w:p>
    <w:p w:rsidR="002D1549" w:rsidRDefault="002D1549">
      <w:pPr>
        <w:ind w:left="-142"/>
        <w:jc w:val="both"/>
        <w:rPr>
          <w:rFonts w:ascii="Times New Roman" w:hAnsi="Times New Roman" w:cs="Times New Roman"/>
          <w:sz w:val="24"/>
          <w:szCs w:val="24"/>
        </w:rPr>
      </w:pPr>
      <w:r>
        <w:rPr>
          <w:sz w:val="24"/>
          <w:szCs w:val="24"/>
        </w:rPr>
        <w:t>Sono Azioni nel loro insieme che si prefiggono di minare alle radici l’autorevolezza delle RSU indebolire in fronte contrattuale a livello aziendale e di minare la stessa credibilità dei rinnovi nazionali</w:t>
      </w:r>
      <w:r>
        <w:rPr>
          <w:rFonts w:ascii="Times New Roman" w:hAnsi="Times New Roman" w:cs="Times New Roman"/>
          <w:sz w:val="24"/>
          <w:szCs w:val="24"/>
        </w:rPr>
        <w:t xml:space="preserve"> di</w:t>
      </w:r>
      <w:r>
        <w:rPr>
          <w:sz w:val="24"/>
          <w:szCs w:val="24"/>
        </w:rPr>
        <w:t xml:space="preserve"> categoria</w:t>
      </w:r>
      <w:r>
        <w:rPr>
          <w:rFonts w:ascii="Times New Roman" w:hAnsi="Times New Roman" w:cs="Times New Roman"/>
          <w:sz w:val="24"/>
          <w:szCs w:val="24"/>
        </w:rPr>
        <w:t>.</w:t>
      </w:r>
    </w:p>
    <w:p w:rsidR="002D1549" w:rsidRDefault="002D1549">
      <w:pPr>
        <w:ind w:left="-142"/>
        <w:jc w:val="both"/>
        <w:rPr>
          <w:rFonts w:ascii="Times New Roman" w:hAnsi="Times New Roman" w:cs="Times New Roman"/>
          <w:sz w:val="24"/>
          <w:szCs w:val="24"/>
        </w:rPr>
      </w:pPr>
      <w:r>
        <w:rPr>
          <w:sz w:val="24"/>
          <w:szCs w:val="24"/>
        </w:rPr>
        <w:t>E’ questo nell’insieme un comportamento grave di Nestlé, che si accompagna alle difficoltà che l’azienda  ha voluto creare in sede di Rinnovo del Contratto Nazionale di Gruppo, dove ha strumentalizzato problematiche produttive locali negli stabilimenti produttivi per imporre una modifica degli attuali modelli organizzativi attraverso la trasformazione dei contratti di lavoro a tempo pieno ed indeterminato in altre tipologie contrattuali che comporterebbero un deterioramento inaccettabile dei diritti e delle tutele dei lavoratori coinvolti.</w:t>
      </w:r>
    </w:p>
    <w:p w:rsidR="002D1549" w:rsidRDefault="002D1549">
      <w:pPr>
        <w:ind w:left="-142"/>
        <w:jc w:val="both"/>
        <w:rPr>
          <w:rFonts w:ascii="Times New Roman" w:hAnsi="Times New Roman" w:cs="Times New Roman"/>
          <w:sz w:val="24"/>
          <w:szCs w:val="24"/>
        </w:rPr>
      </w:pPr>
      <w:r>
        <w:rPr>
          <w:sz w:val="24"/>
          <w:szCs w:val="24"/>
        </w:rPr>
        <w:t>Di fronte al tentativo dell’azienda di porre una frattura tra lavoratori e sindacato nei singoli siti  diventa  importante rispondere con la massima unitarietà e coesione, sia orizzontalmente che verticalmente per riportare Nestlé sul corretto binario  della concertazione .</w:t>
      </w:r>
    </w:p>
    <w:p w:rsidR="002D1549" w:rsidRDefault="002D1549">
      <w:pPr>
        <w:rPr>
          <w:rFonts w:ascii="Times New Roman" w:hAnsi="Times New Roman" w:cs="Times New Roman"/>
          <w:b/>
          <w:bCs/>
          <w:sz w:val="24"/>
          <w:szCs w:val="24"/>
        </w:rPr>
      </w:pPr>
    </w:p>
    <w:p w:rsidR="002D1549" w:rsidRDefault="002D1549">
      <w:pPr>
        <w:ind w:left="-284"/>
        <w:rPr>
          <w:rFonts w:ascii="Times New Roman" w:hAnsi="Times New Roman" w:cs="Times New Roman"/>
          <w:b/>
          <w:bCs/>
          <w:sz w:val="36"/>
          <w:szCs w:val="36"/>
        </w:rPr>
      </w:pPr>
      <w:r>
        <w:rPr>
          <w:rFonts w:ascii="Times New Roman" w:hAnsi="Times New Roman" w:cs="Times New Roman"/>
          <w:b/>
          <w:bCs/>
          <w:sz w:val="48"/>
          <w:szCs w:val="48"/>
        </w:rPr>
        <w:tab/>
      </w:r>
      <w:r>
        <w:rPr>
          <w:rFonts w:ascii="Times New Roman" w:hAnsi="Times New Roman" w:cs="Times New Roman"/>
          <w:b/>
          <w:bCs/>
          <w:sz w:val="48"/>
          <w:szCs w:val="48"/>
        </w:rPr>
        <w:tab/>
      </w:r>
      <w:r>
        <w:rPr>
          <w:rFonts w:ascii="Times New Roman" w:hAnsi="Times New Roman" w:cs="Times New Roman"/>
          <w:b/>
          <w:bCs/>
          <w:sz w:val="48"/>
          <w:szCs w:val="48"/>
        </w:rPr>
        <w:tab/>
      </w:r>
      <w:r>
        <w:rPr>
          <w:rFonts w:ascii="Times New Roman" w:hAnsi="Times New Roman" w:cs="Times New Roman"/>
          <w:b/>
          <w:bCs/>
          <w:sz w:val="36"/>
          <w:szCs w:val="36"/>
        </w:rPr>
        <w:tab/>
      </w:r>
      <w:r>
        <w:rPr>
          <w:b/>
          <w:bCs/>
          <w:sz w:val="36"/>
          <w:szCs w:val="36"/>
        </w:rPr>
        <w:t xml:space="preserve">FAI-FLAI-UILA territoriali </w:t>
      </w:r>
    </w:p>
    <w:p w:rsidR="002D1549" w:rsidRDefault="002D1549">
      <w:pPr>
        <w:ind w:left="-284"/>
        <w:rPr>
          <w:b/>
          <w:bCs/>
          <w:sz w:val="36"/>
          <w:szCs w:val="36"/>
        </w:rPr>
      </w:pP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b/>
          <w:bCs/>
          <w:sz w:val="36"/>
          <w:szCs w:val="36"/>
        </w:rPr>
        <w:t>RSU San</w:t>
      </w:r>
      <w:r w:rsidR="00A77CC7">
        <w:rPr>
          <w:b/>
          <w:bCs/>
          <w:sz w:val="36"/>
          <w:szCs w:val="36"/>
        </w:rPr>
        <w:t>p</w:t>
      </w:r>
      <w:bookmarkStart w:id="0" w:name="_GoBack"/>
      <w:bookmarkEnd w:id="0"/>
      <w:r>
        <w:rPr>
          <w:b/>
          <w:bCs/>
          <w:sz w:val="36"/>
          <w:szCs w:val="36"/>
        </w:rPr>
        <w:t xml:space="preserve">ellegrino e </w:t>
      </w:r>
      <w:proofErr w:type="spellStart"/>
      <w:r>
        <w:rPr>
          <w:b/>
          <w:bCs/>
          <w:sz w:val="36"/>
          <w:szCs w:val="36"/>
        </w:rPr>
        <w:t>Nestlè</w:t>
      </w:r>
      <w:proofErr w:type="spellEnd"/>
      <w:r>
        <w:rPr>
          <w:b/>
          <w:bCs/>
          <w:sz w:val="36"/>
          <w:szCs w:val="36"/>
        </w:rPr>
        <w:t xml:space="preserve"> Sede di Assago</w:t>
      </w:r>
    </w:p>
    <w:sectPr w:rsidR="002D1549" w:rsidSect="002D1549">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D9D1E6A"/>
    <w:multiLevelType w:val="hybridMultilevel"/>
    <w:tmpl w:val="EB54B922"/>
    <w:lvl w:ilvl="0" w:tplc="04100001">
      <w:start w:val="1"/>
      <w:numFmt w:val="bullet"/>
      <w:lvlText w:val=""/>
      <w:lvlJc w:val="left"/>
      <w:pPr>
        <w:ind w:left="578" w:hanging="360"/>
      </w:pPr>
      <w:rPr>
        <w:rFonts w:ascii="Symbol" w:hAnsi="Symbol" w:cs="Symbol" w:hint="default"/>
      </w:rPr>
    </w:lvl>
    <w:lvl w:ilvl="1" w:tplc="04100003">
      <w:start w:val="1"/>
      <w:numFmt w:val="bullet"/>
      <w:lvlText w:val="o"/>
      <w:lvlJc w:val="left"/>
      <w:pPr>
        <w:ind w:left="1298" w:hanging="360"/>
      </w:pPr>
      <w:rPr>
        <w:rFonts w:ascii="Courier New" w:hAnsi="Courier New" w:cs="Courier New" w:hint="default"/>
      </w:rPr>
    </w:lvl>
    <w:lvl w:ilvl="2" w:tplc="04100005">
      <w:start w:val="1"/>
      <w:numFmt w:val="bullet"/>
      <w:lvlText w:val=""/>
      <w:lvlJc w:val="left"/>
      <w:pPr>
        <w:ind w:left="2018" w:hanging="360"/>
      </w:pPr>
      <w:rPr>
        <w:rFonts w:ascii="Wingdings" w:hAnsi="Wingdings" w:cs="Wingdings" w:hint="default"/>
      </w:rPr>
    </w:lvl>
    <w:lvl w:ilvl="3" w:tplc="04100001">
      <w:start w:val="1"/>
      <w:numFmt w:val="bullet"/>
      <w:lvlText w:val=""/>
      <w:lvlJc w:val="left"/>
      <w:pPr>
        <w:ind w:left="2738" w:hanging="360"/>
      </w:pPr>
      <w:rPr>
        <w:rFonts w:ascii="Symbol" w:hAnsi="Symbol" w:cs="Symbol" w:hint="default"/>
      </w:rPr>
    </w:lvl>
    <w:lvl w:ilvl="4" w:tplc="04100003">
      <w:start w:val="1"/>
      <w:numFmt w:val="bullet"/>
      <w:lvlText w:val="o"/>
      <w:lvlJc w:val="left"/>
      <w:pPr>
        <w:ind w:left="3458" w:hanging="360"/>
      </w:pPr>
      <w:rPr>
        <w:rFonts w:ascii="Courier New" w:hAnsi="Courier New" w:cs="Courier New" w:hint="default"/>
      </w:rPr>
    </w:lvl>
    <w:lvl w:ilvl="5" w:tplc="04100005">
      <w:start w:val="1"/>
      <w:numFmt w:val="bullet"/>
      <w:lvlText w:val=""/>
      <w:lvlJc w:val="left"/>
      <w:pPr>
        <w:ind w:left="4178" w:hanging="360"/>
      </w:pPr>
      <w:rPr>
        <w:rFonts w:ascii="Wingdings" w:hAnsi="Wingdings" w:cs="Wingdings" w:hint="default"/>
      </w:rPr>
    </w:lvl>
    <w:lvl w:ilvl="6" w:tplc="04100001">
      <w:start w:val="1"/>
      <w:numFmt w:val="bullet"/>
      <w:lvlText w:val=""/>
      <w:lvlJc w:val="left"/>
      <w:pPr>
        <w:ind w:left="4898" w:hanging="360"/>
      </w:pPr>
      <w:rPr>
        <w:rFonts w:ascii="Symbol" w:hAnsi="Symbol" w:cs="Symbol" w:hint="default"/>
      </w:rPr>
    </w:lvl>
    <w:lvl w:ilvl="7" w:tplc="04100003">
      <w:start w:val="1"/>
      <w:numFmt w:val="bullet"/>
      <w:lvlText w:val="o"/>
      <w:lvlJc w:val="left"/>
      <w:pPr>
        <w:ind w:left="5618" w:hanging="360"/>
      </w:pPr>
      <w:rPr>
        <w:rFonts w:ascii="Courier New" w:hAnsi="Courier New" w:cs="Courier New" w:hint="default"/>
      </w:rPr>
    </w:lvl>
    <w:lvl w:ilvl="8" w:tplc="04100005">
      <w:start w:val="1"/>
      <w:numFmt w:val="bullet"/>
      <w:lvlText w:val=""/>
      <w:lvlJc w:val="left"/>
      <w:pPr>
        <w:ind w:left="633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doNotTrackMove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549"/>
    <w:rsid w:val="002D1549"/>
    <w:rsid w:val="00A77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cs="Calibri"/>
      <w:sz w:val="22"/>
      <w:szCs w:val="22"/>
      <w:lang w:eastAsia="en-US"/>
    </w:rPr>
  </w:style>
  <w:style w:type="paragraph" w:styleId="Titolo1">
    <w:name w:val="heading 1"/>
    <w:basedOn w:val="Normale"/>
    <w:next w:val="Normale"/>
    <w:link w:val="Titolo1Carattere"/>
    <w:uiPriority w:val="99"/>
    <w:qFormat/>
    <w:pPr>
      <w:keepNext/>
      <w:spacing w:after="0" w:line="240" w:lineRule="auto"/>
      <w:jc w:val="both"/>
      <w:outlineLvl w:val="0"/>
    </w:pPr>
    <w:rPr>
      <w:rFonts w:ascii="Arial" w:hAnsi="Arial" w:cs="Arial"/>
      <w:sz w:val="28"/>
      <w:szCs w:val="28"/>
      <w:lang w:eastAsia="it-IT"/>
    </w:rPr>
  </w:style>
  <w:style w:type="paragraph" w:styleId="Titolo2">
    <w:name w:val="heading 2"/>
    <w:basedOn w:val="Normale"/>
    <w:next w:val="Normale"/>
    <w:link w:val="Titolo2Carattere"/>
    <w:uiPriority w:val="99"/>
    <w:qFormat/>
    <w:pPr>
      <w:keepNext/>
      <w:spacing w:before="240" w:after="60" w:line="240" w:lineRule="auto"/>
      <w:outlineLvl w:val="1"/>
    </w:pPr>
    <w:rPr>
      <w:rFonts w:ascii="Arial"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Cambria"/>
      <w:b/>
      <w:bCs/>
      <w:kern w:val="32"/>
      <w:sz w:val="32"/>
      <w:szCs w:val="32"/>
      <w:lang w:eastAsia="en-US"/>
    </w:rPr>
  </w:style>
  <w:style w:type="character" w:customStyle="1" w:styleId="Titolo2Carattere">
    <w:name w:val="Titolo 2 Carattere"/>
    <w:link w:val="Titolo2"/>
    <w:uiPriority w:val="99"/>
    <w:rPr>
      <w:rFonts w:ascii="Cambria" w:hAnsi="Cambria" w:cs="Cambria"/>
      <w:b/>
      <w:bCs/>
      <w:i/>
      <w:iCs/>
      <w:sz w:val="28"/>
      <w:szCs w:val="28"/>
      <w:lang w:eastAsia="en-US"/>
    </w:rPr>
  </w:style>
  <w:style w:type="paragraph" w:styleId="Paragrafoelenco">
    <w:name w:val="List Paragraph"/>
    <w:basedOn w:val="Normale"/>
    <w:uiPriority w:val="99"/>
    <w:qFormat/>
    <w:pPr>
      <w:ind w:left="720"/>
    </w:pPr>
  </w:style>
  <w:style w:type="paragraph" w:styleId="Elenco">
    <w:name w:val="List"/>
    <w:basedOn w:val="Corpotesto"/>
    <w:uiPriority w:val="99"/>
    <w:pPr>
      <w:suppressAutoHyphens/>
      <w:spacing w:line="240" w:lineRule="auto"/>
    </w:pPr>
    <w:rPr>
      <w:rFonts w:cs="Times New Roman"/>
      <w:sz w:val="24"/>
      <w:szCs w:val="24"/>
      <w:lang w:eastAsia="ar-SA"/>
    </w:rPr>
  </w:style>
  <w:style w:type="paragraph" w:styleId="Corpotesto">
    <w:name w:val="Body Text"/>
    <w:basedOn w:val="Normale"/>
    <w:link w:val="CorpotestoCarattere"/>
    <w:uiPriority w:val="99"/>
    <w:pPr>
      <w:spacing w:after="120"/>
    </w:pPr>
  </w:style>
  <w:style w:type="character" w:customStyle="1" w:styleId="CorpotestoCarattere">
    <w:name w:val="Corpo testo Carattere"/>
    <w:link w:val="Corpotesto"/>
    <w:uiPriority w:val="99"/>
    <w:semiHidden/>
    <w:rsid w:val="002D1549"/>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Server02\EBerlenghi\Documenti\LCRISCI\Impostazioni%20locali\Temp\C.Lotus.Notes.Data\-%20flaicgil%201.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GIOCHI ASSURDI SUI SUPERMINIMI                                                     GRAVI FORZATURE OCCUPAZIONALI NEI SITI PROD</dc:title>
  <dc:subject/>
  <dc:creator>alice marcon</dc:creator>
  <cp:keywords/>
  <dc:description/>
  <cp:lastModifiedBy>JOB2</cp:lastModifiedBy>
  <cp:revision>4</cp:revision>
  <dcterms:created xsi:type="dcterms:W3CDTF">2014-05-15T10:26:00Z</dcterms:created>
  <dcterms:modified xsi:type="dcterms:W3CDTF">2014-05-16T14:06:00Z</dcterms:modified>
</cp:coreProperties>
</file>