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53" w:rsidRDefault="00C41353" w:rsidP="00F15ED5">
      <w:pPr>
        <w:spacing w:after="0"/>
        <w:jc w:val="center"/>
        <w:rPr>
          <w:rFonts w:ascii="Georgia" w:hAnsi="Georgia"/>
          <w:b/>
        </w:rPr>
      </w:pPr>
      <w:r w:rsidRPr="00F169DF">
        <w:rPr>
          <w:rFonts w:ascii="Arial" w:hAnsi="Arial"/>
          <w:b/>
          <w:caps/>
          <w:noProof/>
          <w:sz w:val="36"/>
          <w:lang w:eastAsia="it-IT"/>
        </w:rPr>
        <w:drawing>
          <wp:inline distT="0" distB="0" distL="0" distR="0" wp14:anchorId="7DE3D326" wp14:editId="28284680">
            <wp:extent cx="1707777" cy="679076"/>
            <wp:effectExtent l="0" t="0" r="6985" b="6985"/>
            <wp:docPr id="4" name="Immagine 4" descr="logo caritas 150 pixel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aritas 150 pixel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53" w:rsidRDefault="00C41353" w:rsidP="00F15ED5">
      <w:pPr>
        <w:spacing w:after="0"/>
        <w:jc w:val="center"/>
        <w:rPr>
          <w:rFonts w:ascii="Georgia" w:hAnsi="Georgia"/>
          <w:b/>
        </w:rPr>
      </w:pPr>
    </w:p>
    <w:p w:rsidR="00841124" w:rsidRDefault="00841124" w:rsidP="00F15ED5">
      <w:pPr>
        <w:spacing w:after="0"/>
        <w:jc w:val="center"/>
        <w:rPr>
          <w:rFonts w:ascii="Georgia" w:hAnsi="Georgia"/>
          <w:b/>
        </w:rPr>
      </w:pPr>
    </w:p>
    <w:p w:rsidR="00841124" w:rsidRDefault="00AF2864" w:rsidP="00841124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Sintesi </w:t>
      </w:r>
    </w:p>
    <w:p w:rsidR="00841124" w:rsidRDefault="00841124" w:rsidP="00F15ED5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62004" w:rsidRPr="00841124" w:rsidRDefault="00062004" w:rsidP="00F15ED5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F15ED5" w:rsidRPr="009155BD" w:rsidRDefault="00841124" w:rsidP="001C3B3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155BD">
        <w:rPr>
          <w:rFonts w:ascii="Georgia" w:hAnsi="Georgia"/>
          <w:b/>
          <w:sz w:val="24"/>
          <w:szCs w:val="24"/>
        </w:rPr>
        <w:t xml:space="preserve">XVI </w:t>
      </w:r>
      <w:r w:rsidR="00F15ED5" w:rsidRPr="009155BD">
        <w:rPr>
          <w:rFonts w:ascii="Georgia" w:hAnsi="Georgia"/>
          <w:b/>
          <w:sz w:val="24"/>
          <w:szCs w:val="24"/>
        </w:rPr>
        <w:t xml:space="preserve">RAPPORTO POVERTÀ </w:t>
      </w:r>
    </w:p>
    <w:p w:rsidR="00F15ED5" w:rsidRPr="009155BD" w:rsidRDefault="00F15ED5" w:rsidP="001C3B3F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F77EE8" w:rsidRDefault="00F15ED5" w:rsidP="00062004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9155BD">
        <w:rPr>
          <w:rFonts w:ascii="Georgia" w:hAnsi="Georgia"/>
          <w:b/>
          <w:sz w:val="24"/>
          <w:szCs w:val="24"/>
        </w:rPr>
        <w:t>LA CRISI È (FORSE) ALLA SPALLE. MA RESTANO LE VITTIME</w:t>
      </w:r>
    </w:p>
    <w:p w:rsidR="00F77EE8" w:rsidRPr="009155BD" w:rsidRDefault="00062004" w:rsidP="00062004">
      <w:pPr>
        <w:tabs>
          <w:tab w:val="left" w:pos="254"/>
        </w:tabs>
        <w:spacing w:after="0"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F15ED5" w:rsidRPr="009155BD">
        <w:rPr>
          <w:rFonts w:ascii="Georgia" w:hAnsi="Georgia"/>
          <w:b/>
          <w:sz w:val="24"/>
          <w:szCs w:val="24"/>
        </w:rPr>
        <w:t>I GRAVI EMARGINATI SUPERANO LE METÀ DEGLI ASSISTITI (52,7%)</w:t>
      </w:r>
    </w:p>
    <w:p w:rsidR="00F77EE8" w:rsidRPr="009155BD" w:rsidRDefault="00F15ED5" w:rsidP="00062004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9155BD">
        <w:rPr>
          <w:rFonts w:ascii="Georgia" w:hAnsi="Georgia"/>
          <w:b/>
          <w:sz w:val="24"/>
          <w:szCs w:val="24"/>
        </w:rPr>
        <w:t>RADDOPPIANO LE RICHIES</w:t>
      </w:r>
      <w:r w:rsidR="00C35578">
        <w:rPr>
          <w:rFonts w:ascii="Georgia" w:hAnsi="Georgia"/>
          <w:b/>
          <w:sz w:val="24"/>
          <w:szCs w:val="24"/>
        </w:rPr>
        <w:t>T</w:t>
      </w:r>
      <w:r w:rsidRPr="009155BD">
        <w:rPr>
          <w:rFonts w:ascii="Georgia" w:hAnsi="Georgia"/>
          <w:b/>
          <w:sz w:val="24"/>
          <w:szCs w:val="24"/>
        </w:rPr>
        <w:t>E DI AIUTI ECONOMICI (+118%)</w:t>
      </w:r>
    </w:p>
    <w:p w:rsidR="00841124" w:rsidRPr="009155BD" w:rsidRDefault="00F15ED5" w:rsidP="00062004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9155BD">
        <w:rPr>
          <w:rFonts w:ascii="Georgia" w:hAnsi="Georgia"/>
          <w:b/>
          <w:sz w:val="24"/>
          <w:szCs w:val="24"/>
        </w:rPr>
        <w:t xml:space="preserve">GLI IMMIGRATI CALANO, MA AUMENTANO I GIOVANI AFRICANI IN CERCA DI BENI DI PRIMA NECESSITÀ </w:t>
      </w:r>
    </w:p>
    <w:p w:rsidR="00F15ED5" w:rsidRPr="009155BD" w:rsidRDefault="00F15ED5" w:rsidP="00062004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9155BD">
        <w:rPr>
          <w:rFonts w:ascii="Georgia" w:hAnsi="Georgia"/>
          <w:b/>
          <w:sz w:val="24"/>
          <w:szCs w:val="24"/>
        </w:rPr>
        <w:t>(42,8%</w:t>
      </w:r>
      <w:r w:rsidR="00DC5E5E" w:rsidRPr="009155BD">
        <w:rPr>
          <w:rFonts w:ascii="Georgia" w:hAnsi="Georgia"/>
          <w:b/>
          <w:sz w:val="24"/>
          <w:szCs w:val="24"/>
        </w:rPr>
        <w:t xml:space="preserve"> TRA GLI STRANIERI</w:t>
      </w:r>
      <w:r w:rsidRPr="009155BD">
        <w:rPr>
          <w:rFonts w:ascii="Georgia" w:hAnsi="Georgia"/>
          <w:b/>
          <w:sz w:val="24"/>
          <w:szCs w:val="24"/>
        </w:rPr>
        <w:t>)</w:t>
      </w:r>
    </w:p>
    <w:p w:rsidR="00841124" w:rsidRPr="00841124" w:rsidRDefault="00841124" w:rsidP="00F15ED5">
      <w:pPr>
        <w:jc w:val="both"/>
        <w:rPr>
          <w:rFonts w:ascii="Georgia" w:hAnsi="Georgia"/>
          <w:sz w:val="28"/>
          <w:szCs w:val="28"/>
        </w:rPr>
      </w:pPr>
    </w:p>
    <w:p w:rsidR="00D3363E" w:rsidRDefault="00C80E7D" w:rsidP="00F15ED5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 xml:space="preserve">Dopo 8 anni di crisi tutti i principali indicatori della povertà tornano ai valori precedenti al 2008. </w:t>
      </w:r>
      <w:r w:rsidR="00D3363E" w:rsidRPr="009155BD">
        <w:rPr>
          <w:rFonts w:ascii="Georgia" w:hAnsi="Georgia"/>
        </w:rPr>
        <w:t xml:space="preserve">In un quadro di generale miglioramento, </w:t>
      </w:r>
      <w:r w:rsidR="00931ECD" w:rsidRPr="009155BD">
        <w:rPr>
          <w:rFonts w:ascii="Georgia" w:hAnsi="Georgia"/>
        </w:rPr>
        <w:t xml:space="preserve">che indica </w:t>
      </w:r>
      <w:r w:rsidR="001D674D" w:rsidRPr="009155BD">
        <w:rPr>
          <w:rFonts w:ascii="Georgia" w:hAnsi="Georgia"/>
        </w:rPr>
        <w:t>una</w:t>
      </w:r>
      <w:r w:rsidR="008145A3" w:rsidRPr="009155BD">
        <w:rPr>
          <w:rFonts w:ascii="Georgia" w:hAnsi="Georgia"/>
        </w:rPr>
        <w:t xml:space="preserve"> prima timida inversione di tendenza</w:t>
      </w:r>
      <w:r w:rsidR="00931ECD" w:rsidRPr="009155BD">
        <w:rPr>
          <w:rFonts w:ascii="Georgia" w:hAnsi="Georgia"/>
        </w:rPr>
        <w:t xml:space="preserve"> dopo un lungo periodo negativ</w:t>
      </w:r>
      <w:r w:rsidR="007E6230" w:rsidRPr="009155BD">
        <w:rPr>
          <w:rFonts w:ascii="Georgia" w:hAnsi="Georgia"/>
        </w:rPr>
        <w:t>o</w:t>
      </w:r>
      <w:r w:rsidR="008145A3" w:rsidRPr="009155BD">
        <w:rPr>
          <w:rFonts w:ascii="Georgia" w:hAnsi="Georgia"/>
        </w:rPr>
        <w:t xml:space="preserve">, </w:t>
      </w:r>
      <w:r w:rsidR="00931ECD" w:rsidRPr="009155BD">
        <w:rPr>
          <w:rFonts w:ascii="Georgia" w:hAnsi="Georgia"/>
        </w:rPr>
        <w:t>tuttavia desta preoccupazione l’aumento dei</w:t>
      </w:r>
      <w:r w:rsidR="00D3363E" w:rsidRPr="009155BD">
        <w:rPr>
          <w:rFonts w:ascii="Georgia" w:hAnsi="Georgia"/>
        </w:rPr>
        <w:t xml:space="preserve"> poveri cronici e </w:t>
      </w:r>
      <w:r w:rsidR="00931ECD" w:rsidRPr="009155BD">
        <w:rPr>
          <w:rFonts w:ascii="Georgia" w:hAnsi="Georgia"/>
        </w:rPr>
        <w:t>de</w:t>
      </w:r>
      <w:r w:rsidR="00D3363E" w:rsidRPr="009155BD">
        <w:rPr>
          <w:rFonts w:ascii="Georgia" w:hAnsi="Georgia"/>
        </w:rPr>
        <w:t xml:space="preserve">i disoccupati di lungo corso, specie tra gli italiani. </w:t>
      </w:r>
    </w:p>
    <w:p w:rsidR="00D3363E" w:rsidRPr="009155BD" w:rsidRDefault="008145A3" w:rsidP="00F15ED5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>Inoltre m</w:t>
      </w:r>
      <w:r w:rsidR="006C55B4" w:rsidRPr="009155BD">
        <w:rPr>
          <w:rFonts w:ascii="Georgia" w:hAnsi="Georgia"/>
        </w:rPr>
        <w:t>entre diminuiscono gli stranieri che chiedono aiuto, segno di una progressiva integrazione della popolazione immigrata</w:t>
      </w:r>
      <w:r w:rsidR="00083990" w:rsidRPr="009155BD">
        <w:rPr>
          <w:rFonts w:ascii="Georgia" w:hAnsi="Georgia"/>
        </w:rPr>
        <w:t>,</w:t>
      </w:r>
      <w:r w:rsidR="006C55B4" w:rsidRPr="009155BD">
        <w:rPr>
          <w:rFonts w:ascii="Georgia" w:hAnsi="Georgia"/>
        </w:rPr>
        <w:t xml:space="preserve"> resta aperta la questione </w:t>
      </w:r>
      <w:r w:rsidR="00131A34" w:rsidRPr="009155BD">
        <w:rPr>
          <w:rFonts w:ascii="Georgia" w:hAnsi="Georgia"/>
        </w:rPr>
        <w:t>relativa alla delicata fase di accompagnamento dei nuovi venuti, in gran parte immigrati provenienti dall’</w:t>
      </w:r>
      <w:r w:rsidRPr="009155BD">
        <w:rPr>
          <w:rFonts w:ascii="Georgia" w:hAnsi="Georgia"/>
        </w:rPr>
        <w:t>africa subsahari</w:t>
      </w:r>
      <w:r w:rsidR="00083990" w:rsidRPr="009155BD">
        <w:rPr>
          <w:rFonts w:ascii="Georgia" w:hAnsi="Georgia"/>
        </w:rPr>
        <w:t>a</w:t>
      </w:r>
      <w:r w:rsidRPr="009155BD">
        <w:rPr>
          <w:rFonts w:ascii="Georgia" w:hAnsi="Georgia"/>
        </w:rPr>
        <w:t>na</w:t>
      </w:r>
      <w:r w:rsidR="00131A34" w:rsidRPr="009155BD">
        <w:rPr>
          <w:rFonts w:ascii="Georgia" w:hAnsi="Georgia"/>
        </w:rPr>
        <w:t xml:space="preserve"> fuori dal circuito del sistema di accoglienza per richiedenti asilo</w:t>
      </w:r>
      <w:r w:rsidRPr="009155BD">
        <w:rPr>
          <w:rFonts w:ascii="Georgia" w:hAnsi="Georgia"/>
        </w:rPr>
        <w:t xml:space="preserve">. </w:t>
      </w:r>
      <w:r w:rsidR="00131A34" w:rsidRPr="009155BD">
        <w:rPr>
          <w:rFonts w:ascii="Georgia" w:hAnsi="Georgia"/>
        </w:rPr>
        <w:t xml:space="preserve">    </w:t>
      </w:r>
      <w:r w:rsidR="006C55B4" w:rsidRPr="009155BD">
        <w:rPr>
          <w:rFonts w:ascii="Georgia" w:hAnsi="Georgia"/>
        </w:rPr>
        <w:t xml:space="preserve">  </w:t>
      </w:r>
    </w:p>
    <w:p w:rsidR="00CC57E8" w:rsidRPr="009155BD" w:rsidRDefault="00931ECD" w:rsidP="00F15ED5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 xml:space="preserve">È quanto emerge dal XVI </w:t>
      </w:r>
      <w:r w:rsidR="007A0F27" w:rsidRPr="009155BD">
        <w:rPr>
          <w:rFonts w:ascii="Georgia" w:hAnsi="Georgia"/>
        </w:rPr>
        <w:t>R</w:t>
      </w:r>
      <w:r w:rsidRPr="009155BD">
        <w:rPr>
          <w:rFonts w:ascii="Georgia" w:hAnsi="Georgia"/>
        </w:rPr>
        <w:t>apporto sulle povertà nella diocesi di Milano, elaborato dall’Osservatorio di Caritas Ambrosiana, sui dati raccolti dai cent</w:t>
      </w:r>
      <w:r w:rsidR="001A0FCC" w:rsidRPr="009155BD">
        <w:rPr>
          <w:rFonts w:ascii="Georgia" w:hAnsi="Georgia"/>
        </w:rPr>
        <w:t>ri di ascolto.</w:t>
      </w:r>
    </w:p>
    <w:p w:rsidR="008421F5" w:rsidRPr="009155BD" w:rsidRDefault="00EB30FA" w:rsidP="00F15ED5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>Le persone con probl</w:t>
      </w:r>
      <w:r w:rsidR="00172FC3" w:rsidRPr="009155BD">
        <w:rPr>
          <w:rFonts w:ascii="Georgia" w:hAnsi="Georgia"/>
        </w:rPr>
        <w:t>emi di</w:t>
      </w:r>
      <w:r w:rsidRPr="009155BD">
        <w:rPr>
          <w:rFonts w:ascii="Georgia" w:hAnsi="Georgia"/>
        </w:rPr>
        <w:t xml:space="preserve"> occupazione, che nel biennio immediatamente successivo alla crisi, erano andate aumentando in modo significativo, dal 2011 hanno iniziato a diminuire e nel 2016 fanno regist</w:t>
      </w:r>
      <w:r w:rsidR="008421F5" w:rsidRPr="009155BD">
        <w:rPr>
          <w:rFonts w:ascii="Georgia" w:hAnsi="Georgia"/>
        </w:rPr>
        <w:t>r</w:t>
      </w:r>
      <w:r w:rsidRPr="009155BD">
        <w:rPr>
          <w:rFonts w:ascii="Georgia" w:hAnsi="Georgia"/>
        </w:rPr>
        <w:t>are il valore più basso nell’intervallo di tempo considerato</w:t>
      </w:r>
      <w:r w:rsidR="00083990" w:rsidRPr="009155BD">
        <w:rPr>
          <w:rFonts w:ascii="Georgia" w:hAnsi="Georgia"/>
        </w:rPr>
        <w:t>.</w:t>
      </w:r>
    </w:p>
    <w:p w:rsidR="00CC57E8" w:rsidRPr="009155BD" w:rsidRDefault="00CC57E8" w:rsidP="00F15ED5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>Allo stesso modo la presenza di persone con problemi di reddito è tornata sui valori del 2008, dopo anni in cui questo tipo di bisogno registrava aumenti import</w:t>
      </w:r>
      <w:r w:rsidR="00D26795" w:rsidRPr="009155BD">
        <w:rPr>
          <w:rFonts w:ascii="Georgia" w:hAnsi="Georgia"/>
        </w:rPr>
        <w:t>a</w:t>
      </w:r>
      <w:r w:rsidR="003F4D93" w:rsidRPr="009155BD">
        <w:rPr>
          <w:rFonts w:ascii="Georgia" w:hAnsi="Georgia"/>
        </w:rPr>
        <w:t>n</w:t>
      </w:r>
      <w:r w:rsidRPr="009155BD">
        <w:rPr>
          <w:rFonts w:ascii="Georgia" w:hAnsi="Georgia"/>
        </w:rPr>
        <w:t>ti.</w:t>
      </w:r>
    </w:p>
    <w:p w:rsidR="009155BD" w:rsidRPr="00576C68" w:rsidRDefault="00CC57E8" w:rsidP="00576C68">
      <w:pPr>
        <w:jc w:val="both"/>
        <w:rPr>
          <w:rFonts w:ascii="Georgia" w:hAnsi="Georgia"/>
        </w:rPr>
      </w:pPr>
      <w:r w:rsidRPr="009155BD">
        <w:rPr>
          <w:rFonts w:ascii="Georgia" w:hAnsi="Georgia"/>
        </w:rPr>
        <w:t>In decremento anche le problematiche abitative</w:t>
      </w:r>
      <w:r w:rsidR="00D26795" w:rsidRPr="009155BD">
        <w:rPr>
          <w:rFonts w:ascii="Georgia" w:hAnsi="Georgia"/>
        </w:rPr>
        <w:t xml:space="preserve"> e i problemi familiari</w:t>
      </w:r>
      <w:r w:rsidR="00576C68">
        <w:rPr>
          <w:rFonts w:ascii="Georgia" w:hAnsi="Georgia"/>
        </w:rPr>
        <w:t>.</w:t>
      </w:r>
    </w:p>
    <w:p w:rsidR="009155BD" w:rsidRDefault="009155BD" w:rsidP="00B11124">
      <w:pPr>
        <w:rPr>
          <w:b/>
          <w:bCs/>
          <w:sz w:val="20"/>
          <w:szCs w:val="20"/>
        </w:rPr>
      </w:pPr>
    </w:p>
    <w:p w:rsidR="009155BD" w:rsidRDefault="009155BD" w:rsidP="00B11124">
      <w:pPr>
        <w:rPr>
          <w:b/>
          <w:bCs/>
          <w:sz w:val="20"/>
          <w:szCs w:val="20"/>
        </w:rPr>
      </w:pPr>
    </w:p>
    <w:p w:rsidR="00576C68" w:rsidRDefault="00576C68" w:rsidP="00B11124">
      <w:pPr>
        <w:rPr>
          <w:b/>
          <w:bCs/>
          <w:sz w:val="20"/>
          <w:szCs w:val="20"/>
        </w:rPr>
      </w:pPr>
    </w:p>
    <w:p w:rsidR="00576C68" w:rsidRDefault="00576C68" w:rsidP="00B11124">
      <w:pPr>
        <w:rPr>
          <w:b/>
          <w:bCs/>
          <w:sz w:val="20"/>
          <w:szCs w:val="20"/>
        </w:rPr>
      </w:pPr>
    </w:p>
    <w:p w:rsidR="00062004" w:rsidRDefault="00062004" w:rsidP="00B11124">
      <w:pPr>
        <w:rPr>
          <w:b/>
          <w:bCs/>
          <w:sz w:val="20"/>
          <w:szCs w:val="20"/>
        </w:rPr>
      </w:pPr>
    </w:p>
    <w:p w:rsidR="00576C68" w:rsidRDefault="00576C68" w:rsidP="00B11124">
      <w:pPr>
        <w:rPr>
          <w:b/>
          <w:bCs/>
          <w:sz w:val="20"/>
          <w:szCs w:val="20"/>
        </w:rPr>
      </w:pPr>
    </w:p>
    <w:p w:rsidR="00062004" w:rsidRDefault="00062004" w:rsidP="00B11124">
      <w:pPr>
        <w:rPr>
          <w:b/>
          <w:bCs/>
          <w:sz w:val="20"/>
          <w:szCs w:val="20"/>
        </w:rPr>
      </w:pPr>
    </w:p>
    <w:p w:rsidR="00B11124" w:rsidRDefault="00B11124" w:rsidP="00B11124">
      <w:pPr>
        <w:rPr>
          <w:rFonts w:cs="Adobe Garamond Pro Bold"/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Grafico 1. </w:t>
      </w:r>
      <w:r w:rsidR="009D36C4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isogni principali. Anni 2008 – 2016 </w:t>
      </w:r>
      <w:r>
        <w:rPr>
          <w:rFonts w:cs="Adobe Garamond Pro Bold"/>
          <w:b/>
          <w:bCs/>
          <w:i/>
          <w:iCs/>
          <w:sz w:val="20"/>
          <w:szCs w:val="20"/>
        </w:rPr>
        <w:t>(valori assoluti)</w:t>
      </w:r>
    </w:p>
    <w:p w:rsidR="00B11124" w:rsidRPr="00083990" w:rsidRDefault="006458FA" w:rsidP="00B11124">
      <w:pPr>
        <w:rPr>
          <w:rFonts w:ascii="Georgia" w:hAnsi="Georgia"/>
          <w:b/>
        </w:rPr>
      </w:pPr>
      <w:r>
        <w:rPr>
          <w:noProof/>
          <w:lang w:eastAsia="it-IT"/>
        </w:rPr>
        <w:drawing>
          <wp:inline distT="0" distB="0" distL="0" distR="0" wp14:anchorId="6E6422AC" wp14:editId="317C5022">
            <wp:extent cx="5809129" cy="2716306"/>
            <wp:effectExtent l="0" t="0" r="20320" b="273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1124" w:rsidRPr="00B11124" w:rsidRDefault="00B11124" w:rsidP="00F15ED5">
      <w:pPr>
        <w:jc w:val="both"/>
        <w:rPr>
          <w:rFonts w:ascii="Georgia" w:hAnsi="Georgia"/>
          <w:sz w:val="18"/>
          <w:szCs w:val="18"/>
        </w:rPr>
      </w:pPr>
      <w:r w:rsidRPr="00B11124">
        <w:rPr>
          <w:rFonts w:ascii="Georgia" w:hAnsi="Georgia"/>
          <w:sz w:val="18"/>
          <w:szCs w:val="18"/>
        </w:rPr>
        <w:t>Fonte dati: Caritas Ambrosiana</w:t>
      </w:r>
    </w:p>
    <w:p w:rsidR="00B11124" w:rsidRDefault="00B11124" w:rsidP="00F15ED5">
      <w:pPr>
        <w:jc w:val="both"/>
        <w:rPr>
          <w:rFonts w:ascii="Georgia" w:hAnsi="Georgia"/>
        </w:rPr>
      </w:pPr>
    </w:p>
    <w:p w:rsidR="00D26795" w:rsidRPr="00F15ED5" w:rsidRDefault="00AE7C88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>In questo quadro, colpisce ancora la continua crescita tra gli assistiti di Caritas Ambrosi</w:t>
      </w:r>
      <w:r w:rsidR="003F4D93" w:rsidRPr="00F15ED5">
        <w:rPr>
          <w:rFonts w:ascii="Georgia" w:hAnsi="Georgia"/>
        </w:rPr>
        <w:t>ana, de</w:t>
      </w:r>
      <w:r w:rsidR="00716AA8" w:rsidRPr="00F15ED5">
        <w:rPr>
          <w:rFonts w:ascii="Georgia" w:hAnsi="Georgia"/>
        </w:rPr>
        <w:t>i poveri cronici. Nel 2016 i gravi emarginati sono stati la maggioranza delle persone che hanno chiesto aiuto (52,7%), mentre erano meno di un terzo (32,1%) nel 2008.</w:t>
      </w:r>
    </w:p>
    <w:p w:rsidR="00894666" w:rsidRPr="00F15ED5" w:rsidRDefault="00851852" w:rsidP="00F15ED5">
      <w:pPr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Pr="00F15ED5">
        <w:rPr>
          <w:rFonts w:ascii="Georgia" w:hAnsi="Georgia"/>
        </w:rPr>
        <w:t>n un contesto di progressivo peggioramento della condizione sociale degli utenti dei centri di ascolto</w:t>
      </w:r>
      <w:r>
        <w:rPr>
          <w:rFonts w:ascii="Georgia" w:hAnsi="Georgia"/>
        </w:rPr>
        <w:t xml:space="preserve"> n</w:t>
      </w:r>
      <w:r w:rsidR="00081DB8" w:rsidRPr="00F15ED5">
        <w:rPr>
          <w:rFonts w:ascii="Georgia" w:hAnsi="Georgia"/>
        </w:rPr>
        <w:t>on stupisce quindi che</w:t>
      </w:r>
      <w:r w:rsidR="002347AE" w:rsidRPr="00F15ED5">
        <w:rPr>
          <w:rFonts w:ascii="Georgia" w:hAnsi="Georgia"/>
        </w:rPr>
        <w:t xml:space="preserve"> la sola categoria di richieste rivol</w:t>
      </w:r>
      <w:r w:rsidR="00894666" w:rsidRPr="00F15ED5">
        <w:rPr>
          <w:rFonts w:ascii="Georgia" w:hAnsi="Georgia"/>
        </w:rPr>
        <w:t>te agli operato</w:t>
      </w:r>
      <w:r>
        <w:rPr>
          <w:rFonts w:ascii="Georgia" w:hAnsi="Georgia"/>
        </w:rPr>
        <w:t>ri a salire significativamente sia</w:t>
      </w:r>
      <w:r w:rsidR="00894666" w:rsidRPr="00F15ED5">
        <w:rPr>
          <w:rFonts w:ascii="Georgia" w:hAnsi="Georgia"/>
        </w:rPr>
        <w:t xml:space="preserve"> quella</w:t>
      </w:r>
      <w:r>
        <w:rPr>
          <w:rFonts w:ascii="Georgia" w:hAnsi="Georgia"/>
        </w:rPr>
        <w:t xml:space="preserve"> relativa</w:t>
      </w:r>
      <w:r w:rsidR="002347AE" w:rsidRPr="00F15ED5">
        <w:rPr>
          <w:rFonts w:ascii="Georgia" w:hAnsi="Georgia"/>
        </w:rPr>
        <w:t xml:space="preserve"> ai sussidi economici</w:t>
      </w:r>
      <w:r w:rsidR="00894666" w:rsidRPr="00F15ED5">
        <w:rPr>
          <w:rFonts w:ascii="Georgia" w:hAnsi="Georgia"/>
        </w:rPr>
        <w:t>, raddoppiata rispetto all’inizio della crisi (+118%)</w:t>
      </w:r>
      <w:r>
        <w:rPr>
          <w:rFonts w:ascii="Georgia" w:hAnsi="Georgia"/>
        </w:rPr>
        <w:t>.</w:t>
      </w:r>
    </w:p>
    <w:p w:rsidR="00B11124" w:rsidRDefault="00B11124" w:rsidP="00B11124">
      <w:pPr>
        <w:pStyle w:val="Default"/>
      </w:pPr>
    </w:p>
    <w:p w:rsidR="009D36C4" w:rsidRDefault="009D36C4" w:rsidP="00B11124">
      <w:pPr>
        <w:rPr>
          <w:noProof/>
          <w:lang w:eastAsia="it-IT"/>
        </w:rPr>
      </w:pPr>
      <w:r>
        <w:rPr>
          <w:b/>
          <w:bCs/>
          <w:sz w:val="20"/>
          <w:szCs w:val="20"/>
        </w:rPr>
        <w:t>Grafico 2. R</w:t>
      </w:r>
      <w:r w:rsidR="00B11124">
        <w:rPr>
          <w:b/>
          <w:bCs/>
          <w:sz w:val="20"/>
          <w:szCs w:val="20"/>
        </w:rPr>
        <w:t xml:space="preserve">ichieste </w:t>
      </w:r>
      <w:r>
        <w:rPr>
          <w:b/>
          <w:bCs/>
          <w:sz w:val="20"/>
          <w:szCs w:val="20"/>
        </w:rPr>
        <w:t xml:space="preserve">principali. </w:t>
      </w:r>
      <w:r w:rsidR="00B11124">
        <w:rPr>
          <w:b/>
          <w:bCs/>
          <w:sz w:val="20"/>
          <w:szCs w:val="20"/>
        </w:rPr>
        <w:t>Anni 2008 – 2016</w:t>
      </w:r>
      <w:r>
        <w:rPr>
          <w:b/>
          <w:bCs/>
          <w:sz w:val="20"/>
          <w:szCs w:val="20"/>
        </w:rPr>
        <w:t xml:space="preserve"> </w:t>
      </w:r>
      <w:r w:rsidRPr="009D36C4">
        <w:rPr>
          <w:b/>
          <w:bCs/>
          <w:i/>
          <w:sz w:val="20"/>
          <w:szCs w:val="20"/>
        </w:rPr>
        <w:t>(valori assoluti)</w:t>
      </w:r>
    </w:p>
    <w:p w:rsidR="00B11124" w:rsidRPr="00851852" w:rsidRDefault="00B11124" w:rsidP="00B11124">
      <w:pPr>
        <w:rPr>
          <w:rFonts w:ascii="Georgia" w:hAnsi="Georgia"/>
          <w:b/>
        </w:rPr>
      </w:pPr>
      <w:r>
        <w:rPr>
          <w:noProof/>
          <w:lang w:eastAsia="it-IT"/>
        </w:rPr>
        <w:drawing>
          <wp:inline distT="0" distB="0" distL="0" distR="0" wp14:anchorId="43356C18" wp14:editId="73809D2C">
            <wp:extent cx="5190564" cy="1963271"/>
            <wp:effectExtent l="0" t="0" r="10160" b="1841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36C4" w:rsidRPr="00B11124" w:rsidRDefault="009D36C4" w:rsidP="009D36C4">
      <w:pPr>
        <w:jc w:val="both"/>
        <w:rPr>
          <w:rFonts w:ascii="Georgia" w:hAnsi="Georgia"/>
          <w:sz w:val="18"/>
          <w:szCs w:val="18"/>
        </w:rPr>
      </w:pPr>
      <w:r w:rsidRPr="00B11124">
        <w:rPr>
          <w:rFonts w:ascii="Georgia" w:hAnsi="Georgia"/>
          <w:sz w:val="18"/>
          <w:szCs w:val="18"/>
        </w:rPr>
        <w:t>Fonte dati: Caritas Ambrosiana</w:t>
      </w:r>
    </w:p>
    <w:p w:rsidR="00081DB8" w:rsidRPr="00F15ED5" w:rsidRDefault="000223D6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>Allarmante anche il trend dei disoccupati di lungo peri</w:t>
      </w:r>
      <w:r w:rsidR="00CD1DC6" w:rsidRPr="00F15ED5">
        <w:rPr>
          <w:rFonts w:ascii="Georgia" w:hAnsi="Georgia"/>
        </w:rPr>
        <w:t>o</w:t>
      </w:r>
      <w:r w:rsidRPr="00F15ED5">
        <w:rPr>
          <w:rFonts w:ascii="Georgia" w:hAnsi="Georgia"/>
        </w:rPr>
        <w:t>do</w:t>
      </w:r>
      <w:r w:rsidR="00CD1DC6" w:rsidRPr="00F15ED5">
        <w:rPr>
          <w:rFonts w:ascii="Georgia" w:hAnsi="Georgia"/>
        </w:rPr>
        <w:t xml:space="preserve">. Dall’inizio della crisi questo gruppo è progressivamente aumentato fino a rappresentare nel 2016 </w:t>
      </w:r>
      <w:r w:rsidR="00290C94" w:rsidRPr="00F15ED5">
        <w:rPr>
          <w:rFonts w:ascii="Georgia" w:hAnsi="Georgia"/>
        </w:rPr>
        <w:t>il 33,8%, un terzo del campione. Un problema che pare particolarmente acuto soprattutto tra la componente maschile</w:t>
      </w:r>
      <w:r w:rsidR="00851852">
        <w:rPr>
          <w:rFonts w:ascii="Georgia" w:hAnsi="Georgia"/>
        </w:rPr>
        <w:t>,</w:t>
      </w:r>
      <w:r w:rsidR="00290C94" w:rsidRPr="00F15ED5">
        <w:rPr>
          <w:rFonts w:ascii="Georgia" w:hAnsi="Georgia"/>
        </w:rPr>
        <w:t xml:space="preserve"> </w:t>
      </w:r>
      <w:r w:rsidR="00081DB8" w:rsidRPr="00F15ED5">
        <w:rPr>
          <w:rFonts w:ascii="Georgia" w:hAnsi="Georgia"/>
        </w:rPr>
        <w:t>nella</w:t>
      </w:r>
      <w:r w:rsidR="00290C94" w:rsidRPr="00F15ED5">
        <w:rPr>
          <w:rFonts w:ascii="Georgia" w:hAnsi="Georgia"/>
        </w:rPr>
        <w:t xml:space="preserve"> qual</w:t>
      </w:r>
      <w:r w:rsidR="00851852">
        <w:rPr>
          <w:rFonts w:ascii="Georgia" w:hAnsi="Georgia"/>
        </w:rPr>
        <w:t>e</w:t>
      </w:r>
      <w:r w:rsidR="00290C94" w:rsidRPr="00F15ED5">
        <w:rPr>
          <w:rFonts w:ascii="Georgia" w:hAnsi="Georgia"/>
        </w:rPr>
        <w:t xml:space="preserve"> la percentuale sale al 44,2%</w:t>
      </w:r>
      <w:r w:rsidR="00851852">
        <w:rPr>
          <w:rFonts w:ascii="Georgia" w:hAnsi="Georgia"/>
        </w:rPr>
        <w:t>,</w:t>
      </w:r>
      <w:r w:rsidR="00290C94" w:rsidRPr="00F15ED5">
        <w:rPr>
          <w:rFonts w:ascii="Georgia" w:hAnsi="Georgia"/>
        </w:rPr>
        <w:t xml:space="preserve"> e tra gli ital</w:t>
      </w:r>
      <w:r w:rsidR="009544B1" w:rsidRPr="00F15ED5">
        <w:rPr>
          <w:rFonts w:ascii="Georgia" w:hAnsi="Georgia"/>
        </w:rPr>
        <w:t>iani, dove ad essere in questa situazione sono</w:t>
      </w:r>
      <w:r w:rsidR="00CD1DC6" w:rsidRPr="00F15ED5">
        <w:rPr>
          <w:rFonts w:ascii="Georgia" w:hAnsi="Georgia"/>
        </w:rPr>
        <w:t xml:space="preserve"> </w:t>
      </w:r>
      <w:r w:rsidR="00081DB8" w:rsidRPr="00F15ED5">
        <w:rPr>
          <w:rFonts w:ascii="Georgia" w:hAnsi="Georgia"/>
        </w:rPr>
        <w:t>il 41,5%.</w:t>
      </w:r>
    </w:p>
    <w:p w:rsidR="0029285F" w:rsidRPr="00F15ED5" w:rsidRDefault="0029285F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>Merita</w:t>
      </w:r>
      <w:r w:rsidR="00851852">
        <w:rPr>
          <w:rFonts w:ascii="Georgia" w:hAnsi="Georgia"/>
        </w:rPr>
        <w:t>, invece,</w:t>
      </w:r>
      <w:r w:rsidRPr="00F15ED5">
        <w:rPr>
          <w:rFonts w:ascii="Georgia" w:hAnsi="Georgia"/>
        </w:rPr>
        <w:t xml:space="preserve"> una considerazione a parte la questione straniera</w:t>
      </w:r>
      <w:r w:rsidR="00851852">
        <w:rPr>
          <w:rFonts w:ascii="Georgia" w:hAnsi="Georgia"/>
        </w:rPr>
        <w:t>.</w:t>
      </w:r>
    </w:p>
    <w:p w:rsidR="00851852" w:rsidRDefault="00F3069C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lastRenderedPageBreak/>
        <w:t>Prima di tutto, g</w:t>
      </w:r>
      <w:r w:rsidR="0029285F" w:rsidRPr="00F15ED5">
        <w:rPr>
          <w:rFonts w:ascii="Georgia" w:hAnsi="Georgia"/>
        </w:rPr>
        <w:t xml:space="preserve">li immigrati che si rivolgono </w:t>
      </w:r>
      <w:r w:rsidR="00851852">
        <w:rPr>
          <w:rFonts w:ascii="Georgia" w:hAnsi="Georgia"/>
        </w:rPr>
        <w:t>alla Caritas</w:t>
      </w:r>
      <w:r w:rsidR="0029285F" w:rsidRPr="00F15ED5">
        <w:rPr>
          <w:rFonts w:ascii="Georgia" w:hAnsi="Georgia"/>
        </w:rPr>
        <w:t xml:space="preserve"> </w:t>
      </w:r>
      <w:r w:rsidR="00851852">
        <w:rPr>
          <w:rFonts w:ascii="Georgia" w:hAnsi="Georgia"/>
        </w:rPr>
        <w:t xml:space="preserve">Ambrosiana </w:t>
      </w:r>
      <w:r w:rsidR="0029285F" w:rsidRPr="00F15ED5">
        <w:rPr>
          <w:rFonts w:ascii="Georgia" w:hAnsi="Georgia"/>
        </w:rPr>
        <w:t>sono diminuiti</w:t>
      </w:r>
      <w:r w:rsidRPr="00F15ED5">
        <w:rPr>
          <w:rFonts w:ascii="Georgia" w:hAnsi="Georgia"/>
        </w:rPr>
        <w:t xml:space="preserve">. </w:t>
      </w:r>
      <w:r w:rsidR="00D70F99" w:rsidRPr="00F15ED5">
        <w:rPr>
          <w:rFonts w:ascii="Georgia" w:hAnsi="Georgia"/>
        </w:rPr>
        <w:t>Pur rappresentando ancora la maggioranza degli utenti (62,4%), il loro numero è</w:t>
      </w:r>
      <w:r w:rsidRPr="00F15ED5">
        <w:rPr>
          <w:rFonts w:ascii="Georgia" w:hAnsi="Georgia"/>
        </w:rPr>
        <w:t xml:space="preserve"> cal</w:t>
      </w:r>
      <w:r w:rsidR="00D70F99" w:rsidRPr="00F15ED5">
        <w:rPr>
          <w:rFonts w:ascii="Georgia" w:hAnsi="Georgia"/>
        </w:rPr>
        <w:t>at</w:t>
      </w:r>
      <w:r w:rsidRPr="00F15ED5">
        <w:rPr>
          <w:rFonts w:ascii="Georgia" w:hAnsi="Georgia"/>
        </w:rPr>
        <w:t>o rispetto al 2008</w:t>
      </w:r>
      <w:r w:rsidR="00D70F99" w:rsidRPr="00F15ED5">
        <w:rPr>
          <w:rFonts w:ascii="Georgia" w:hAnsi="Georgia"/>
        </w:rPr>
        <w:t xml:space="preserve"> </w:t>
      </w:r>
      <w:r w:rsidR="0029285F" w:rsidRPr="00F15ED5">
        <w:rPr>
          <w:rFonts w:ascii="Georgia" w:hAnsi="Georgia"/>
        </w:rPr>
        <w:t>del 33,7%.</w:t>
      </w:r>
    </w:p>
    <w:p w:rsidR="00976739" w:rsidRPr="00F15ED5" w:rsidRDefault="0029285F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 xml:space="preserve">Non solo, in 8 anni, è cambiata anche la loro provenienza geografica. </w:t>
      </w:r>
      <w:r w:rsidR="008B266F" w:rsidRPr="00F15ED5">
        <w:rPr>
          <w:rFonts w:ascii="Georgia" w:hAnsi="Georgia"/>
        </w:rPr>
        <w:t>Se prima della crisi prevalevano gli immigrati sudamericani, seguiti dagli europei e quindi dagli africani, ora le proporzioni si sono ribaltate. A prevalere sono questi ultimi, provenienti soprattutto dai paesi subsahari</w:t>
      </w:r>
      <w:r w:rsidR="00851852">
        <w:rPr>
          <w:rFonts w:ascii="Georgia" w:hAnsi="Georgia"/>
        </w:rPr>
        <w:t>a</w:t>
      </w:r>
      <w:r w:rsidR="008B266F" w:rsidRPr="00F15ED5">
        <w:rPr>
          <w:rFonts w:ascii="Georgia" w:hAnsi="Georgia"/>
        </w:rPr>
        <w:t>ni</w:t>
      </w:r>
      <w:r w:rsidR="00D86621" w:rsidRPr="00F15ED5">
        <w:rPr>
          <w:rFonts w:ascii="Georgia" w:hAnsi="Georgia"/>
        </w:rPr>
        <w:t xml:space="preserve"> (42,8%) che superano gli europei (24,5%), nonostante siano prop</w:t>
      </w:r>
      <w:r w:rsidR="00851852">
        <w:rPr>
          <w:rFonts w:ascii="Georgia" w:hAnsi="Georgia"/>
        </w:rPr>
        <w:t>rio gli europei</w:t>
      </w:r>
      <w:r w:rsidR="00D86621" w:rsidRPr="00F15ED5">
        <w:rPr>
          <w:rFonts w:ascii="Georgia" w:hAnsi="Georgia"/>
        </w:rPr>
        <w:t xml:space="preserve"> il gruppo etnico più numeroso in Lombardia</w:t>
      </w:r>
      <w:r w:rsidR="0089520D" w:rsidRPr="00F15ED5">
        <w:rPr>
          <w:rFonts w:ascii="Georgia" w:hAnsi="Georgia"/>
        </w:rPr>
        <w:t>.</w:t>
      </w:r>
    </w:p>
    <w:p w:rsidR="000863BA" w:rsidRPr="000863BA" w:rsidRDefault="0089520D" w:rsidP="000863BA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0863BA">
        <w:rPr>
          <w:rFonts w:ascii="Arial" w:hAnsi="Arial" w:cs="Arial"/>
          <w:b/>
          <w:sz w:val="18"/>
          <w:szCs w:val="18"/>
        </w:rPr>
        <w:t xml:space="preserve">Grafico </w:t>
      </w:r>
      <w:r w:rsidR="000863BA" w:rsidRPr="000863BA">
        <w:rPr>
          <w:rFonts w:ascii="Arial" w:hAnsi="Arial" w:cs="Arial"/>
          <w:b/>
          <w:sz w:val="18"/>
          <w:szCs w:val="18"/>
        </w:rPr>
        <w:t xml:space="preserve">3. </w:t>
      </w:r>
      <w:r w:rsidR="000863BA" w:rsidRPr="000863BA">
        <w:rPr>
          <w:rFonts w:ascii="Arial" w:hAnsi="Arial" w:cs="Arial"/>
          <w:b/>
          <w:bCs/>
          <w:sz w:val="18"/>
          <w:szCs w:val="18"/>
        </w:rPr>
        <w:t xml:space="preserve">Distribuzione delle persone straniere per continente di appartenenza. Anno 2016 </w:t>
      </w:r>
    </w:p>
    <w:p w:rsidR="000863BA" w:rsidRDefault="000863BA" w:rsidP="000863BA">
      <w:pPr>
        <w:pStyle w:val="Default"/>
        <w:rPr>
          <w:rFonts w:ascii="Arial" w:hAnsi="Arial" w:cs="Arial"/>
          <w:b/>
          <w:bCs/>
          <w:i/>
          <w:iCs/>
          <w:sz w:val="18"/>
          <w:szCs w:val="18"/>
        </w:rPr>
      </w:pPr>
      <w:r w:rsidRPr="000863BA">
        <w:rPr>
          <w:rFonts w:ascii="Arial" w:hAnsi="Arial" w:cs="Arial"/>
          <w:b/>
          <w:bCs/>
          <w:i/>
          <w:iCs/>
          <w:sz w:val="18"/>
          <w:szCs w:val="18"/>
        </w:rPr>
        <w:t>(valori percentuali)</w:t>
      </w:r>
    </w:p>
    <w:p w:rsidR="00C41353" w:rsidRPr="00976739" w:rsidRDefault="00C41353" w:rsidP="000863BA">
      <w:pPr>
        <w:pStyle w:val="Defaul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863BA" w:rsidRPr="00F15ED5" w:rsidRDefault="000863BA" w:rsidP="000863BA">
      <w:pPr>
        <w:jc w:val="center"/>
        <w:rPr>
          <w:rFonts w:ascii="Georgia" w:hAnsi="Georgia"/>
        </w:rPr>
      </w:pPr>
      <w:r>
        <w:rPr>
          <w:noProof/>
          <w:lang w:eastAsia="it-IT"/>
        </w:rPr>
        <w:drawing>
          <wp:inline distT="0" distB="0" distL="0" distR="0" wp14:anchorId="6B2F77CE" wp14:editId="1713FEEB">
            <wp:extent cx="3906370" cy="1680471"/>
            <wp:effectExtent l="0" t="0" r="18415" b="1524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3BA" w:rsidRPr="000863BA" w:rsidRDefault="000863BA" w:rsidP="00F15ED5">
      <w:pPr>
        <w:jc w:val="both"/>
        <w:rPr>
          <w:rFonts w:ascii="Arial" w:hAnsi="Arial" w:cs="Arial"/>
          <w:sz w:val="16"/>
          <w:szCs w:val="16"/>
        </w:rPr>
      </w:pPr>
      <w:r w:rsidRPr="000863BA">
        <w:rPr>
          <w:rFonts w:ascii="Arial" w:hAnsi="Arial" w:cs="Arial"/>
          <w:sz w:val="16"/>
          <w:szCs w:val="16"/>
        </w:rPr>
        <w:t>Fonte dati: Caritas Ambrosiana</w:t>
      </w:r>
    </w:p>
    <w:p w:rsidR="00F30AEF" w:rsidRPr="00F15ED5" w:rsidRDefault="00E80CEB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>Il dato, al netto delle politic</w:t>
      </w:r>
      <w:r w:rsidR="001D674D">
        <w:rPr>
          <w:rFonts w:ascii="Georgia" w:hAnsi="Georgia"/>
        </w:rPr>
        <w:t>he</w:t>
      </w:r>
      <w:r w:rsidRPr="00F15ED5">
        <w:rPr>
          <w:rFonts w:ascii="Georgia" w:hAnsi="Georgia"/>
        </w:rPr>
        <w:t xml:space="preserve"> m</w:t>
      </w:r>
      <w:r w:rsidR="008040D0" w:rsidRPr="00F15ED5">
        <w:rPr>
          <w:rFonts w:ascii="Georgia" w:hAnsi="Georgia"/>
        </w:rPr>
        <w:t>igratorie attua</w:t>
      </w:r>
      <w:r w:rsidR="00812197" w:rsidRPr="00F15ED5">
        <w:rPr>
          <w:rFonts w:ascii="Georgia" w:hAnsi="Georgia"/>
        </w:rPr>
        <w:t>te dal</w:t>
      </w:r>
      <w:r w:rsidR="0021738A" w:rsidRPr="00F15ED5">
        <w:rPr>
          <w:rFonts w:ascii="Georgia" w:hAnsi="Georgia"/>
        </w:rPr>
        <w:t xml:space="preserve"> governo, sta ad indicare che complessivamente</w:t>
      </w:r>
      <w:r w:rsidR="00812197" w:rsidRPr="00F15ED5">
        <w:rPr>
          <w:rFonts w:ascii="Georgia" w:hAnsi="Georgia"/>
        </w:rPr>
        <w:t xml:space="preserve"> </w:t>
      </w:r>
      <w:r w:rsidR="0021738A" w:rsidRPr="00F15ED5">
        <w:rPr>
          <w:rFonts w:ascii="Georgia" w:hAnsi="Georgia"/>
        </w:rPr>
        <w:t xml:space="preserve">le </w:t>
      </w:r>
      <w:r w:rsidR="00812197" w:rsidRPr="00F15ED5">
        <w:rPr>
          <w:rFonts w:ascii="Georgia" w:hAnsi="Georgia"/>
        </w:rPr>
        <w:t xml:space="preserve">persone immigrate che si rivolgevano ai centri di ascolto hanno concluso il loro percorso di integrazione e sono uscite dall’orbita dei centri e servizi Caritas. </w:t>
      </w:r>
      <w:r w:rsidR="003E4CDA" w:rsidRPr="00F15ED5">
        <w:rPr>
          <w:rFonts w:ascii="Georgia" w:hAnsi="Georgia"/>
        </w:rPr>
        <w:t xml:space="preserve">Contemporaneamente, tuttavia, una quota di stranieri, provenienti da </w:t>
      </w:r>
      <w:r w:rsidR="00AF2864">
        <w:rPr>
          <w:rFonts w:ascii="Georgia" w:hAnsi="Georgia"/>
        </w:rPr>
        <w:t xml:space="preserve">Marocco, Egitto, </w:t>
      </w:r>
      <w:r w:rsidR="003E4CDA" w:rsidRPr="00F15ED5">
        <w:rPr>
          <w:rFonts w:ascii="Georgia" w:hAnsi="Georgia"/>
        </w:rPr>
        <w:t>Gambia, Senegal, Nigeria e Costa D’Avorio, che ha chiesto asilo è uscita dai circuiti di accoglienza, pr</w:t>
      </w:r>
      <w:r w:rsidR="00F30AEF" w:rsidRPr="00F15ED5">
        <w:rPr>
          <w:rFonts w:ascii="Georgia" w:hAnsi="Georgia"/>
        </w:rPr>
        <w:t>i</w:t>
      </w:r>
      <w:r w:rsidR="003E4CDA" w:rsidRPr="00F15ED5">
        <w:rPr>
          <w:rFonts w:ascii="Georgia" w:hAnsi="Georgia"/>
        </w:rPr>
        <w:t xml:space="preserve">va di un alloggio e di un’occupazione stabile e, continuando a permanere sul territorio italiano, si rivolge ai centri di ascolto in cerca di beni di prima necessità. </w:t>
      </w:r>
    </w:p>
    <w:p w:rsidR="00D26E65" w:rsidRDefault="00DA77FC" w:rsidP="00F15ED5">
      <w:pPr>
        <w:jc w:val="both"/>
        <w:rPr>
          <w:rFonts w:ascii="Georgia" w:hAnsi="Georgia"/>
        </w:rPr>
      </w:pPr>
      <w:r w:rsidRPr="00F15ED5">
        <w:rPr>
          <w:rFonts w:ascii="Georgia" w:hAnsi="Georgia"/>
        </w:rPr>
        <w:t>«Registriamo dopo un lungo periodo i primi segnali di un’inversione di tendenza non sa</w:t>
      </w:r>
      <w:r w:rsidR="00D273C0" w:rsidRPr="00F15ED5">
        <w:rPr>
          <w:rFonts w:ascii="Georgia" w:hAnsi="Georgia"/>
        </w:rPr>
        <w:t>p</w:t>
      </w:r>
      <w:r w:rsidRPr="00F15ED5">
        <w:rPr>
          <w:rFonts w:ascii="Georgia" w:hAnsi="Georgia"/>
        </w:rPr>
        <w:t>piamo ancora quanto duraturi. Ciò che è certo, invece, è che da un lato, le vittime della lunga crisi economica sono rimaste intrappolate nella povertà</w:t>
      </w:r>
      <w:r w:rsidR="00C52EA4" w:rsidRPr="00F15ED5">
        <w:rPr>
          <w:rFonts w:ascii="Georgia" w:hAnsi="Georgia"/>
        </w:rPr>
        <w:t>. Costoro hanno spesso il nostro stesso colore della pelle e parlano la nostra lingua: sono italiani, in età matura, con bassa scolarità</w:t>
      </w:r>
      <w:r w:rsidR="00FE79B5">
        <w:rPr>
          <w:rFonts w:ascii="Georgia" w:hAnsi="Georgia"/>
        </w:rPr>
        <w:t>. Nei centri di asc</w:t>
      </w:r>
      <w:r w:rsidR="00D273C0" w:rsidRPr="00F15ED5">
        <w:rPr>
          <w:rFonts w:ascii="Georgia" w:hAnsi="Georgia"/>
        </w:rPr>
        <w:t>olto si sp</w:t>
      </w:r>
      <w:r w:rsidR="00C52EA4" w:rsidRPr="00F15ED5">
        <w:rPr>
          <w:rFonts w:ascii="Georgia" w:hAnsi="Georgia"/>
        </w:rPr>
        <w:t>a</w:t>
      </w:r>
      <w:r w:rsidR="00D273C0" w:rsidRPr="00F15ED5">
        <w:rPr>
          <w:rFonts w:ascii="Georgia" w:hAnsi="Georgia"/>
        </w:rPr>
        <w:t>rtiscono le risorse con gli ultimi venuti, gli immigrati africani, in fuga soprattutto dalla fame, che hanno approfittato del caos libico, per venire da noi. Mentre dobbiamo trovare una soluzione</w:t>
      </w:r>
      <w:r w:rsidR="00F77EE8" w:rsidRPr="00F15ED5">
        <w:rPr>
          <w:rFonts w:ascii="Georgia" w:hAnsi="Georgia"/>
        </w:rPr>
        <w:t xml:space="preserve"> per i primi</w:t>
      </w:r>
      <w:r w:rsidR="007C7351">
        <w:rPr>
          <w:rFonts w:ascii="Georgia" w:hAnsi="Georgia"/>
        </w:rPr>
        <w:t xml:space="preserve"> per sostenerli nella dignità</w:t>
      </w:r>
      <w:r w:rsidR="00F77EE8" w:rsidRPr="00F15ED5">
        <w:rPr>
          <w:rFonts w:ascii="Georgia" w:hAnsi="Georgia"/>
        </w:rPr>
        <w:t>, bisogna</w:t>
      </w:r>
      <w:r w:rsidR="00D273C0" w:rsidRPr="00F15ED5">
        <w:rPr>
          <w:rFonts w:ascii="Georgia" w:hAnsi="Georgia"/>
        </w:rPr>
        <w:t xml:space="preserve"> fare una serie riflessione</w:t>
      </w:r>
      <w:r w:rsidR="00F77EE8" w:rsidRPr="00F15ED5">
        <w:rPr>
          <w:rFonts w:ascii="Georgia" w:hAnsi="Georgia"/>
        </w:rPr>
        <w:t>, al di là di isterismi e strumentalizzazioni politiche,</w:t>
      </w:r>
      <w:r w:rsidR="00D273C0" w:rsidRPr="00F15ED5">
        <w:rPr>
          <w:rFonts w:ascii="Georgia" w:hAnsi="Georgia"/>
        </w:rPr>
        <w:t xml:space="preserve"> su cosa offrire ai secondi perché possano integrarsi e non finire nel sommerso, nell’illegalità, </w:t>
      </w:r>
      <w:r w:rsidR="00F77EE8" w:rsidRPr="00F15ED5">
        <w:rPr>
          <w:rFonts w:ascii="Georgia" w:hAnsi="Georgia"/>
        </w:rPr>
        <w:t>o addirittura nelle mani del racket», osserva Luciano Gualzetti, direttore di Caritas Ambrosiana</w:t>
      </w:r>
      <w:r w:rsidR="007C7351">
        <w:rPr>
          <w:rFonts w:ascii="Georgia" w:hAnsi="Georgia"/>
        </w:rPr>
        <w:t>.</w:t>
      </w:r>
      <w:r w:rsidR="00F77EE8" w:rsidRPr="00F15ED5">
        <w:rPr>
          <w:rFonts w:ascii="Georgia" w:hAnsi="Georgia"/>
        </w:rPr>
        <w:t xml:space="preserve"> </w:t>
      </w:r>
    </w:p>
    <w:p w:rsidR="00DC5E5E" w:rsidRDefault="00DC5E5E" w:rsidP="00F15ED5">
      <w:pPr>
        <w:jc w:val="both"/>
        <w:rPr>
          <w:rFonts w:ascii="Georgia" w:hAnsi="Georgia"/>
        </w:rPr>
      </w:pPr>
      <w:r w:rsidRPr="00C41353">
        <w:rPr>
          <w:rFonts w:ascii="Georgia" w:hAnsi="Georgia"/>
          <w:b/>
        </w:rPr>
        <w:t>Nota</w:t>
      </w:r>
      <w:r>
        <w:rPr>
          <w:rFonts w:ascii="Georgia" w:hAnsi="Georgia"/>
        </w:rPr>
        <w:t>:</w:t>
      </w:r>
    </w:p>
    <w:p w:rsidR="004A1857" w:rsidRDefault="00D26E65" w:rsidP="004A185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Le </w:t>
      </w:r>
      <w:r w:rsidR="00CA2F15">
        <w:rPr>
          <w:rFonts w:ascii="Georgia" w:hAnsi="Georgia"/>
        </w:rPr>
        <w:t>rilevazioni statistiche</w:t>
      </w:r>
      <w:r>
        <w:rPr>
          <w:rFonts w:ascii="Georgia" w:hAnsi="Georgia"/>
        </w:rPr>
        <w:t xml:space="preserve"> si basano su un campione </w:t>
      </w:r>
      <w:r w:rsidR="00CA2F15">
        <w:rPr>
          <w:rFonts w:ascii="Georgia" w:hAnsi="Georgia"/>
        </w:rPr>
        <w:t xml:space="preserve">di 12.425 persone </w:t>
      </w:r>
      <w:r w:rsidR="005A0DA0">
        <w:rPr>
          <w:rFonts w:ascii="Georgia" w:hAnsi="Georgia"/>
        </w:rPr>
        <w:t>che hanno chiesto aiuto nel corso del 2016 a 54 centri di ascolto e 3 servizi Caritas scelti per rappresentare l’intero territorio della Diocesi di Milano (Milano, Varese, Monza, Lecco e relative province)</w:t>
      </w:r>
      <w:r w:rsidR="00EA2A42">
        <w:rPr>
          <w:rFonts w:ascii="Georgia" w:hAnsi="Georgia"/>
        </w:rPr>
        <w:t>. Non è possibile determinare il</w:t>
      </w:r>
      <w:r w:rsidR="005A0DA0">
        <w:rPr>
          <w:rFonts w:ascii="Georgia" w:hAnsi="Georgia"/>
        </w:rPr>
        <w:t xml:space="preserve"> numero complessivamente gli utenti dei</w:t>
      </w:r>
      <w:r w:rsidR="00EA2A42">
        <w:rPr>
          <w:rFonts w:ascii="Georgia" w:hAnsi="Georgia"/>
        </w:rPr>
        <w:t xml:space="preserve"> 370 centri di ascolto, ma si può stimare che siano 80mila su tutto il territorio diocesano</w:t>
      </w:r>
      <w:r w:rsidR="00DC5E5E">
        <w:rPr>
          <w:rFonts w:ascii="Georgia" w:hAnsi="Georgia"/>
        </w:rPr>
        <w:t>.</w:t>
      </w:r>
      <w:r w:rsidR="00EA2A42">
        <w:rPr>
          <w:rFonts w:ascii="Georgia" w:hAnsi="Georgia"/>
        </w:rPr>
        <w:t xml:space="preserve"> </w:t>
      </w:r>
    </w:p>
    <w:p w:rsidR="004A1857" w:rsidRDefault="004A1857" w:rsidP="004A1857">
      <w:pPr>
        <w:jc w:val="both"/>
        <w:rPr>
          <w:rFonts w:ascii="Georgia" w:hAnsi="Georgia"/>
        </w:rPr>
      </w:pPr>
      <w:bookmarkStart w:id="0" w:name="_GoBack"/>
      <w:bookmarkEnd w:id="0"/>
    </w:p>
    <w:sectPr w:rsidR="004A1857" w:rsidSect="00E52ADD"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223D6"/>
    <w:rsid w:val="00062004"/>
    <w:rsid w:val="00081DB8"/>
    <w:rsid w:val="00083990"/>
    <w:rsid w:val="000863BA"/>
    <w:rsid w:val="000C0511"/>
    <w:rsid w:val="00105142"/>
    <w:rsid w:val="00130190"/>
    <w:rsid w:val="00131A34"/>
    <w:rsid w:val="00172FC3"/>
    <w:rsid w:val="001A0FCC"/>
    <w:rsid w:val="001C3B3F"/>
    <w:rsid w:val="001D674D"/>
    <w:rsid w:val="0021738A"/>
    <w:rsid w:val="002347AE"/>
    <w:rsid w:val="00290C94"/>
    <w:rsid w:val="0029285F"/>
    <w:rsid w:val="003E4CDA"/>
    <w:rsid w:val="003F4D93"/>
    <w:rsid w:val="004313E8"/>
    <w:rsid w:val="004A1857"/>
    <w:rsid w:val="00554AAD"/>
    <w:rsid w:val="00576C68"/>
    <w:rsid w:val="005A0DA0"/>
    <w:rsid w:val="005D799C"/>
    <w:rsid w:val="006458FA"/>
    <w:rsid w:val="006C55B4"/>
    <w:rsid w:val="00716AA8"/>
    <w:rsid w:val="007A0F27"/>
    <w:rsid w:val="007C7351"/>
    <w:rsid w:val="007E6230"/>
    <w:rsid w:val="008040D0"/>
    <w:rsid w:val="00812197"/>
    <w:rsid w:val="008145A3"/>
    <w:rsid w:val="00841124"/>
    <w:rsid w:val="008421F5"/>
    <w:rsid w:val="00851852"/>
    <w:rsid w:val="00894666"/>
    <w:rsid w:val="0089520D"/>
    <w:rsid w:val="008B1D47"/>
    <w:rsid w:val="008B266F"/>
    <w:rsid w:val="008C6DA8"/>
    <w:rsid w:val="009155BD"/>
    <w:rsid w:val="00931ECD"/>
    <w:rsid w:val="009544B1"/>
    <w:rsid w:val="00976739"/>
    <w:rsid w:val="009D36C4"/>
    <w:rsid w:val="00A6163D"/>
    <w:rsid w:val="00AD7D6F"/>
    <w:rsid w:val="00AE7C88"/>
    <w:rsid w:val="00AF2864"/>
    <w:rsid w:val="00B11124"/>
    <w:rsid w:val="00C35578"/>
    <w:rsid w:val="00C41353"/>
    <w:rsid w:val="00C52EA4"/>
    <w:rsid w:val="00C80E7D"/>
    <w:rsid w:val="00CA2F15"/>
    <w:rsid w:val="00CC57E8"/>
    <w:rsid w:val="00CD1DC6"/>
    <w:rsid w:val="00CD3368"/>
    <w:rsid w:val="00D26795"/>
    <w:rsid w:val="00D26E65"/>
    <w:rsid w:val="00D273C0"/>
    <w:rsid w:val="00D3363E"/>
    <w:rsid w:val="00D70F99"/>
    <w:rsid w:val="00D86621"/>
    <w:rsid w:val="00DA77FC"/>
    <w:rsid w:val="00DC5E5E"/>
    <w:rsid w:val="00E52ADD"/>
    <w:rsid w:val="00E80CEB"/>
    <w:rsid w:val="00E9789F"/>
    <w:rsid w:val="00EA2A42"/>
    <w:rsid w:val="00EB30FA"/>
    <w:rsid w:val="00F15ED5"/>
    <w:rsid w:val="00F3069C"/>
    <w:rsid w:val="00F30AEF"/>
    <w:rsid w:val="00F77EE8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124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301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01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1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01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1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124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301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01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1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01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rovere\Documents\documenti%201999\osservatorio%20permanente\Progetti%202017\Rapporto%202017\XVI%20Rapporto%20povert&#224;\grafici%20in%20I%20risultati%20dell'indagi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rovere\Documents\documenti%201999\osservatorio%20permanente\Progetti%202017\Rapporto%202017\XVI%20Rapporto%20povert&#224;\grafici%20in%20I%20risultati%20dell'indagi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arovere\Documents\documenti%201999\osservatorio%20permanente\Progetti%202017\Rapporto%202017\grafici%20XVI%20Rappor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68760799917803"/>
          <c:y val="3.734367050272562E-2"/>
          <c:w val="0.87633255807436883"/>
          <c:h val="0.68484102564102567"/>
        </c:manualLayout>
      </c:layout>
      <c:lineChart>
        <c:grouping val="standard"/>
        <c:varyColors val="0"/>
        <c:ser>
          <c:idx val="0"/>
          <c:order val="0"/>
          <c:tx>
            <c:strRef>
              <c:f>'\Users\elarovere\Documents\documenti 1999\osservatorio permanente\Progetti 2017\Rapporto 2017\[tasso di incremento utenti 2016.xlsx]bisogni 2008-2015'!$B$4</c:f>
              <c:strCache>
                <c:ptCount val="1"/>
                <c:pt idx="0">
                  <c:v>occupazione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2016.xlsx]bisogni 2008-2015'!$C$3:$K$3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2016.xlsx]bisogni 2008-2015'!$C$4:$K$4</c:f>
              <c:numCache>
                <c:formatCode>General</c:formatCode>
                <c:ptCount val="9"/>
                <c:pt idx="0">
                  <c:v>9345</c:v>
                </c:pt>
                <c:pt idx="1">
                  <c:v>10569</c:v>
                </c:pt>
                <c:pt idx="2">
                  <c:v>10767</c:v>
                </c:pt>
                <c:pt idx="3">
                  <c:v>10390</c:v>
                </c:pt>
                <c:pt idx="4">
                  <c:v>10195</c:v>
                </c:pt>
                <c:pt idx="5">
                  <c:v>9036</c:v>
                </c:pt>
                <c:pt idx="6">
                  <c:v>8535</c:v>
                </c:pt>
                <c:pt idx="7">
                  <c:v>7402</c:v>
                </c:pt>
                <c:pt idx="8">
                  <c:v>6665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'\Users\elarovere\Documents\documenti 1999\osservatorio permanente\Progetti 2017\Rapporto 2017\[tasso di incremento utenti 2016.xlsx]bisogni 2008-2015'!$B$5</c:f>
              <c:strCache>
                <c:ptCount val="1"/>
                <c:pt idx="0">
                  <c:v>reddito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2016.xlsx]bisogni 2008-2015'!$C$3:$K$3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2016.xlsx]bisogni 2008-2015'!$C$5:$K$5</c:f>
              <c:numCache>
                <c:formatCode>General</c:formatCode>
                <c:ptCount val="9"/>
                <c:pt idx="0">
                  <c:v>6397</c:v>
                </c:pt>
                <c:pt idx="1">
                  <c:v>7521</c:v>
                </c:pt>
                <c:pt idx="2">
                  <c:v>8238</c:v>
                </c:pt>
                <c:pt idx="3">
                  <c:v>8005</c:v>
                </c:pt>
                <c:pt idx="4">
                  <c:v>8613</c:v>
                </c:pt>
                <c:pt idx="5">
                  <c:v>8267</c:v>
                </c:pt>
                <c:pt idx="6">
                  <c:v>8059</c:v>
                </c:pt>
                <c:pt idx="7">
                  <c:v>7039</c:v>
                </c:pt>
                <c:pt idx="8">
                  <c:v>6357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'\Users\elarovere\Documents\documenti 1999\osservatorio permanente\Progetti 2017\Rapporto 2017\[tasso di incremento utenti 2016.xlsx]bisogni 2008-2015'!$B$6</c:f>
              <c:strCache>
                <c:ptCount val="1"/>
                <c:pt idx="0">
                  <c:v>problematiche abitative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2016.xlsx]bisogni 2008-2015'!$C$3:$K$3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2016.xlsx]bisogni 2008-2015'!$C$6:$K$6</c:f>
              <c:numCache>
                <c:formatCode>General</c:formatCode>
                <c:ptCount val="9"/>
                <c:pt idx="0">
                  <c:v>2267</c:v>
                </c:pt>
                <c:pt idx="1">
                  <c:v>2336</c:v>
                </c:pt>
                <c:pt idx="2">
                  <c:v>2418</c:v>
                </c:pt>
                <c:pt idx="3">
                  <c:v>2444</c:v>
                </c:pt>
                <c:pt idx="4">
                  <c:v>2531</c:v>
                </c:pt>
                <c:pt idx="5">
                  <c:v>2324</c:v>
                </c:pt>
                <c:pt idx="6">
                  <c:v>2329</c:v>
                </c:pt>
                <c:pt idx="7">
                  <c:v>2285</c:v>
                </c:pt>
                <c:pt idx="8">
                  <c:v>2038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'\Users\elarovere\Documents\documenti 1999\osservatorio permanente\Progetti 2017\Rapporto 2017\[tasso di incremento utenti 2016.xlsx]bisogni 2008-2015'!$B$7</c:f>
              <c:strCache>
                <c:ptCount val="1"/>
                <c:pt idx="0">
                  <c:v>problemi immigraz.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2016.xlsx]bisogni 2008-2015'!$C$3:$K$3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2016.xlsx]bisogni 2008-2015'!$C$7:$K$7</c:f>
              <c:numCache>
                <c:formatCode>General</c:formatCode>
                <c:ptCount val="9"/>
                <c:pt idx="0">
                  <c:v>2639</c:v>
                </c:pt>
                <c:pt idx="1">
                  <c:v>2369</c:v>
                </c:pt>
                <c:pt idx="2">
                  <c:v>2139</c:v>
                </c:pt>
                <c:pt idx="3">
                  <c:v>1824</c:v>
                </c:pt>
                <c:pt idx="4">
                  <c:v>1655</c:v>
                </c:pt>
                <c:pt idx="5">
                  <c:v>1400</c:v>
                </c:pt>
                <c:pt idx="6">
                  <c:v>1398</c:v>
                </c:pt>
                <c:pt idx="7">
                  <c:v>1283</c:v>
                </c:pt>
                <c:pt idx="8">
                  <c:v>1655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'\Users\elarovere\Documents\documenti 1999\osservatorio permanente\Progetti 2017\Rapporto 2017\[tasso di incremento utenti 2016.xlsx]bisogni 2008-2015'!$B$8</c:f>
              <c:strCache>
                <c:ptCount val="1"/>
                <c:pt idx="0">
                  <c:v>famiglia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2016.xlsx]bisogni 2008-2015'!$C$3:$K$3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2016.xlsx]bisogni 2008-2015'!$C$8:$K$8</c:f>
              <c:numCache>
                <c:formatCode>General</c:formatCode>
                <c:ptCount val="9"/>
                <c:pt idx="0">
                  <c:v>1117</c:v>
                </c:pt>
                <c:pt idx="1">
                  <c:v>1082</c:v>
                </c:pt>
                <c:pt idx="2">
                  <c:v>1184</c:v>
                </c:pt>
                <c:pt idx="3">
                  <c:v>1086</c:v>
                </c:pt>
                <c:pt idx="4">
                  <c:v>1040</c:v>
                </c:pt>
                <c:pt idx="5">
                  <c:v>928</c:v>
                </c:pt>
                <c:pt idx="6">
                  <c:v>948</c:v>
                </c:pt>
                <c:pt idx="7">
                  <c:v>957</c:v>
                </c:pt>
                <c:pt idx="8">
                  <c:v>800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294656"/>
        <c:axId val="122296576"/>
      </c:lineChart>
      <c:catAx>
        <c:axId val="12229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296576"/>
        <c:crosses val="autoZero"/>
        <c:auto val="1"/>
        <c:lblAlgn val="ctr"/>
        <c:lblOffset val="100"/>
        <c:noMultiLvlLbl val="0"/>
      </c:catAx>
      <c:valAx>
        <c:axId val="1222965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94656"/>
        <c:crosses val="autoZero"/>
        <c:crossBetween val="between"/>
        <c:majorUnit val="3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'\Users\elarovere\Documents\documenti 1999\osservatorio permanente\Progetti 2017\Rapporto 2017\[tasso di incremento utenti 2016.xlsx]richieste 2008-2015'!$E$181</c:f>
              <c:strCache>
                <c:ptCount val="1"/>
                <c:pt idx="0">
                  <c:v>lavoro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2016.xlsx]richieste 2008-2015'!$F$180:$N$180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2016.xlsx]richieste 2008-2015'!$F$181:$N$181</c:f>
              <c:numCache>
                <c:formatCode>General</c:formatCode>
                <c:ptCount val="9"/>
                <c:pt idx="0">
                  <c:v>9016</c:v>
                </c:pt>
                <c:pt idx="1">
                  <c:v>9422</c:v>
                </c:pt>
                <c:pt idx="2">
                  <c:v>9087</c:v>
                </c:pt>
                <c:pt idx="3">
                  <c:v>8662</c:v>
                </c:pt>
                <c:pt idx="4">
                  <c:v>7856</c:v>
                </c:pt>
                <c:pt idx="5">
                  <c:v>6581</c:v>
                </c:pt>
                <c:pt idx="6">
                  <c:v>5907</c:v>
                </c:pt>
                <c:pt idx="7">
                  <c:v>4860</c:v>
                </c:pt>
                <c:pt idx="8">
                  <c:v>4119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'\Users\elarovere\Documents\documenti 1999\osservatorio permanente\Progetti 2017\Rapporto 2017\[tasso di incremento utenti 2016.xlsx]richieste 2008-2015'!$E$182</c:f>
              <c:strCache>
                <c:ptCount val="1"/>
                <c:pt idx="0">
                  <c:v>beni materiali e servizi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2016.xlsx]richieste 2008-2015'!$F$180:$N$180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2016.xlsx]richieste 2008-2015'!$F$182:$N$182</c:f>
              <c:numCache>
                <c:formatCode>General</c:formatCode>
                <c:ptCount val="9"/>
                <c:pt idx="0">
                  <c:v>4560</c:v>
                </c:pt>
                <c:pt idx="1">
                  <c:v>5213</c:v>
                </c:pt>
                <c:pt idx="2">
                  <c:v>5348</c:v>
                </c:pt>
                <c:pt idx="3">
                  <c:v>5395</c:v>
                </c:pt>
                <c:pt idx="4">
                  <c:v>5993</c:v>
                </c:pt>
                <c:pt idx="5">
                  <c:v>5833</c:v>
                </c:pt>
                <c:pt idx="6">
                  <c:v>5368</c:v>
                </c:pt>
                <c:pt idx="7">
                  <c:v>4829</c:v>
                </c:pt>
                <c:pt idx="8">
                  <c:v>4751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'\Users\elarovere\Documents\documenti 1999\osservatorio permanente\Progetti 2017\Rapporto 2017\[tasso di incremento utenti 2016.xlsx]richieste 2008-2015'!$E$183</c:f>
              <c:strCache>
                <c:ptCount val="1"/>
                <c:pt idx="0">
                  <c:v>sostegno personale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2016.xlsx]richieste 2008-2015'!$F$180:$N$180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2016.xlsx]richieste 2008-2015'!$F$183:$N$183</c:f>
              <c:numCache>
                <c:formatCode>General</c:formatCode>
                <c:ptCount val="9"/>
                <c:pt idx="0">
                  <c:v>3090</c:v>
                </c:pt>
                <c:pt idx="1">
                  <c:v>3372</c:v>
                </c:pt>
                <c:pt idx="2">
                  <c:v>4018</c:v>
                </c:pt>
                <c:pt idx="3">
                  <c:v>4045</c:v>
                </c:pt>
                <c:pt idx="4">
                  <c:v>4323</c:v>
                </c:pt>
                <c:pt idx="5">
                  <c:v>4490</c:v>
                </c:pt>
                <c:pt idx="6">
                  <c:v>4087</c:v>
                </c:pt>
                <c:pt idx="7">
                  <c:v>3710</c:v>
                </c:pt>
                <c:pt idx="8">
                  <c:v>3426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'\Users\elarovere\Documents\documenti 1999\osservatorio permanente\Progetti 2017\Rapporto 2017\[tasso di incremento utenti 2016.xlsx]richieste 2008-2015'!$E$184</c:f>
              <c:strCache>
                <c:ptCount val="1"/>
                <c:pt idx="0">
                  <c:v>sussidi economici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'\Users\elarovere\Documents\documenti 1999\osservatorio permanente\Progetti 2017\Rapporto 2017\[tasso di incremento utenti 2016.xlsx]richieste 2008-2015'!$F$180:$N$180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'\Users\elarovere\Documents\documenti 1999\osservatorio permanente\Progetti 2017\Rapporto 2017\[tasso di incremento utenti 2016.xlsx]richieste 2008-2015'!$F$184:$N$184</c:f>
              <c:numCache>
                <c:formatCode>General</c:formatCode>
                <c:ptCount val="9"/>
                <c:pt idx="0">
                  <c:v>1099</c:v>
                </c:pt>
                <c:pt idx="1">
                  <c:v>1900</c:v>
                </c:pt>
                <c:pt idx="2">
                  <c:v>1968</c:v>
                </c:pt>
                <c:pt idx="3">
                  <c:v>1848</c:v>
                </c:pt>
                <c:pt idx="4">
                  <c:v>2100</c:v>
                </c:pt>
                <c:pt idx="5">
                  <c:v>2546</c:v>
                </c:pt>
                <c:pt idx="6">
                  <c:v>2753</c:v>
                </c:pt>
                <c:pt idx="7">
                  <c:v>2549</c:v>
                </c:pt>
                <c:pt idx="8">
                  <c:v>2405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24096"/>
        <c:axId val="122326016"/>
      </c:lineChart>
      <c:catAx>
        <c:axId val="12232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326016"/>
        <c:crosses val="autoZero"/>
        <c:auto val="1"/>
        <c:lblAlgn val="ctr"/>
        <c:lblOffset val="100"/>
        <c:noMultiLvlLbl val="0"/>
      </c:catAx>
      <c:valAx>
        <c:axId val="12232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324096"/>
        <c:crosses val="autoZero"/>
        <c:crossBetween val="between"/>
        <c:majorUnit val="2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dLbl>
              <c:idx val="0"/>
              <c:layout>
                <c:manualLayout>
                  <c:x val="1.3604986876640522E-2"/>
                  <c:y val="-1.793124817731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4257217847769026E-2"/>
                  <c:y val="-0.31272163896179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893263342082238E-2"/>
                  <c:y val="-4.8518518518518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793307086614223E-2"/>
                  <c:y val="2.2696121318168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Foglio1!$B$73:$B$76</c:f>
              <c:strCache>
                <c:ptCount val="4"/>
                <c:pt idx="0">
                  <c:v>Europa </c:v>
                </c:pt>
                <c:pt idx="1">
                  <c:v>Africa</c:v>
                </c:pt>
                <c:pt idx="2">
                  <c:v>America</c:v>
                </c:pt>
                <c:pt idx="3">
                  <c:v>Asia</c:v>
                </c:pt>
              </c:strCache>
            </c:strRef>
          </c:cat>
          <c:val>
            <c:numRef>
              <c:f>Foglio1!$C$73:$C$76</c:f>
              <c:numCache>
                <c:formatCode>0.0</c:formatCode>
                <c:ptCount val="4"/>
                <c:pt idx="0">
                  <c:v>24.548736462093864</c:v>
                </c:pt>
                <c:pt idx="1">
                  <c:v>42.805569881382155</c:v>
                </c:pt>
                <c:pt idx="2">
                  <c:v>21.660649819494584</c:v>
                </c:pt>
                <c:pt idx="3" formatCode="0">
                  <c:v>10.985043837029396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7191821863567245"/>
          <c:y val="0.85740927384076993"/>
          <c:w val="0.50715145310469079"/>
          <c:h val="0.11592405949256343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Chiavarini francesco</dc:creator>
  <cp:lastModifiedBy>Job5</cp:lastModifiedBy>
  <cp:revision>8</cp:revision>
  <dcterms:created xsi:type="dcterms:W3CDTF">2017-11-17T14:29:00Z</dcterms:created>
  <dcterms:modified xsi:type="dcterms:W3CDTF">2017-11-21T10:38:00Z</dcterms:modified>
</cp:coreProperties>
</file>