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33" w:rsidRDefault="008F1033" w:rsidP="008F1033">
      <w:pPr>
        <w:pStyle w:val="Titolo1"/>
        <w:ind w:left="-284" w:right="49"/>
        <w:jc w:val="center"/>
        <w:rPr>
          <w:bCs w:val="0"/>
          <w:i/>
          <w:iCs/>
          <w:sz w:val="14"/>
        </w:rPr>
      </w:pPr>
      <w:r>
        <w:rPr>
          <w:noProof/>
          <w:sz w:val="14"/>
        </w:rPr>
        <w:drawing>
          <wp:inline distT="0" distB="0" distL="0" distR="0">
            <wp:extent cx="1571625" cy="457200"/>
            <wp:effectExtent l="0" t="0" r="9525" b="0"/>
            <wp:docPr id="1" name="Immagine 1" descr="CDC_RGB_L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DC_RGB_L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 w:val="0"/>
          <w:i/>
          <w:iCs/>
          <w:sz w:val="14"/>
        </w:rPr>
        <w:t xml:space="preserve">Relazioni con i media– Tel. 02.8515.5224/5288 –Comunicati stampa in Internet: </w:t>
      </w:r>
      <w:hyperlink r:id="rId6" w:history="1">
        <w:r>
          <w:rPr>
            <w:rStyle w:val="Collegamentoipertestuale"/>
            <w:bCs w:val="0"/>
            <w:i/>
            <w:iCs/>
            <w:sz w:val="14"/>
          </w:rPr>
          <w:t>www.mi.camcom.it</w:t>
        </w:r>
      </w:hyperlink>
    </w:p>
    <w:p w:rsidR="002C19C5" w:rsidRPr="00D23F1B" w:rsidRDefault="002C19C5" w:rsidP="002C19C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56"/>
          <w:szCs w:val="56"/>
          <w:lang w:val="it-IT"/>
        </w:rPr>
      </w:pPr>
      <w:r w:rsidRPr="00D23F1B">
        <w:rPr>
          <w:rFonts w:ascii="Times New Roman" w:hAnsi="Times New Roman"/>
          <w:b/>
          <w:sz w:val="56"/>
          <w:szCs w:val="56"/>
          <w:lang w:val="it-IT"/>
        </w:rPr>
        <w:t>Expo, 7 italiani su 10 positivi sulla manifestazione, 7% in meno in dieci mesi</w:t>
      </w:r>
    </w:p>
    <w:p w:rsidR="00715E66" w:rsidRPr="00D23F1B" w:rsidRDefault="00715E66" w:rsidP="009279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</w:p>
    <w:p w:rsidR="00715E66" w:rsidRPr="00D23F1B" w:rsidRDefault="00EC1A75" w:rsidP="009279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44"/>
          <w:szCs w:val="44"/>
          <w:lang w:val="it-IT"/>
        </w:rPr>
      </w:pPr>
      <w:r w:rsidRPr="00D23F1B">
        <w:rPr>
          <w:rFonts w:ascii="Times New Roman" w:hAnsi="Times New Roman"/>
          <w:b/>
          <w:sz w:val="44"/>
          <w:szCs w:val="44"/>
          <w:lang w:val="it-IT"/>
        </w:rPr>
        <w:t xml:space="preserve">Ottimismo per </w:t>
      </w:r>
      <w:r w:rsidR="007D51BE">
        <w:rPr>
          <w:rFonts w:ascii="Times New Roman" w:hAnsi="Times New Roman"/>
          <w:b/>
          <w:sz w:val="44"/>
          <w:szCs w:val="44"/>
          <w:lang w:val="it-IT"/>
        </w:rPr>
        <w:t>l’</w:t>
      </w:r>
      <w:r w:rsidRPr="00D23F1B">
        <w:rPr>
          <w:rFonts w:ascii="Times New Roman" w:hAnsi="Times New Roman"/>
          <w:b/>
          <w:sz w:val="44"/>
          <w:szCs w:val="44"/>
          <w:lang w:val="it-IT"/>
        </w:rPr>
        <w:t xml:space="preserve">adesione </w:t>
      </w:r>
      <w:r w:rsidR="007D51BE">
        <w:rPr>
          <w:rFonts w:ascii="Times New Roman" w:hAnsi="Times New Roman"/>
          <w:b/>
          <w:sz w:val="44"/>
          <w:szCs w:val="44"/>
          <w:lang w:val="it-IT"/>
        </w:rPr>
        <w:t xml:space="preserve">di </w:t>
      </w:r>
      <w:r w:rsidRPr="00D23F1B">
        <w:rPr>
          <w:rFonts w:ascii="Times New Roman" w:hAnsi="Times New Roman"/>
          <w:b/>
          <w:sz w:val="44"/>
          <w:szCs w:val="44"/>
          <w:lang w:val="it-IT"/>
        </w:rPr>
        <w:t xml:space="preserve">Paesi e </w:t>
      </w:r>
      <w:r w:rsidR="007D51BE">
        <w:rPr>
          <w:rFonts w:ascii="Times New Roman" w:hAnsi="Times New Roman"/>
          <w:b/>
          <w:sz w:val="44"/>
          <w:szCs w:val="44"/>
          <w:lang w:val="it-IT"/>
        </w:rPr>
        <w:t xml:space="preserve">per gli </w:t>
      </w:r>
      <w:r w:rsidRPr="00D23F1B">
        <w:rPr>
          <w:rFonts w:ascii="Times New Roman" w:hAnsi="Times New Roman"/>
          <w:b/>
          <w:sz w:val="44"/>
          <w:szCs w:val="44"/>
          <w:lang w:val="it-IT"/>
        </w:rPr>
        <w:t xml:space="preserve">affari </w:t>
      </w:r>
    </w:p>
    <w:p w:rsidR="00EC1A75" w:rsidRPr="00D23F1B" w:rsidRDefault="00715E66" w:rsidP="009279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44"/>
          <w:szCs w:val="44"/>
          <w:lang w:val="it-IT"/>
        </w:rPr>
      </w:pPr>
      <w:r w:rsidRPr="00D23F1B">
        <w:rPr>
          <w:rFonts w:ascii="Times New Roman" w:hAnsi="Times New Roman"/>
          <w:b/>
          <w:sz w:val="44"/>
          <w:szCs w:val="44"/>
          <w:lang w:val="it-IT"/>
        </w:rPr>
        <w:t>D</w:t>
      </w:r>
      <w:r w:rsidR="00EC1A75" w:rsidRPr="00D23F1B">
        <w:rPr>
          <w:rFonts w:ascii="Times New Roman" w:hAnsi="Times New Roman"/>
          <w:b/>
          <w:sz w:val="44"/>
          <w:szCs w:val="44"/>
          <w:lang w:val="it-IT"/>
        </w:rPr>
        <w:t xml:space="preserve">ubbi </w:t>
      </w:r>
      <w:r w:rsidRPr="00D23F1B">
        <w:rPr>
          <w:rFonts w:ascii="Times New Roman" w:hAnsi="Times New Roman"/>
          <w:b/>
          <w:sz w:val="44"/>
          <w:szCs w:val="44"/>
          <w:lang w:val="it-IT"/>
        </w:rPr>
        <w:t>sui ritardi (per quattro su dieci</w:t>
      </w:r>
      <w:bookmarkStart w:id="0" w:name="_GoBack"/>
      <w:bookmarkEnd w:id="0"/>
      <w:r w:rsidRPr="00D23F1B">
        <w:rPr>
          <w:rFonts w:ascii="Times New Roman" w:hAnsi="Times New Roman"/>
          <w:b/>
          <w:sz w:val="44"/>
          <w:szCs w:val="44"/>
          <w:lang w:val="it-IT"/>
        </w:rPr>
        <w:t>)</w:t>
      </w:r>
    </w:p>
    <w:p w:rsidR="009279AF" w:rsidRPr="002C19C5" w:rsidRDefault="009279AF" w:rsidP="009279AF">
      <w:pPr>
        <w:autoSpaceDE w:val="0"/>
        <w:autoSpaceDN w:val="0"/>
        <w:adjustRightInd w:val="0"/>
        <w:spacing w:before="0" w:after="0" w:line="240" w:lineRule="auto"/>
        <w:jc w:val="both"/>
        <w:rPr>
          <w:b/>
          <w:sz w:val="10"/>
          <w:szCs w:val="10"/>
          <w:lang w:val="it-IT"/>
        </w:rPr>
      </w:pPr>
    </w:p>
    <w:p w:rsidR="009279AF" w:rsidRPr="00A07F2A" w:rsidRDefault="002C19C5" w:rsidP="009279AF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A07F2A">
        <w:rPr>
          <w:rFonts w:ascii="Times New Roman" w:hAnsi="Times New Roman"/>
          <w:i/>
          <w:sz w:val="23"/>
          <w:szCs w:val="23"/>
          <w:lang w:val="it-IT"/>
        </w:rPr>
        <w:t>Milano, 3 marzo 2014</w:t>
      </w:r>
      <w:r w:rsidRPr="00A07F2A">
        <w:rPr>
          <w:rFonts w:ascii="Times New Roman" w:hAnsi="Times New Roman"/>
          <w:sz w:val="23"/>
          <w:szCs w:val="23"/>
          <w:lang w:val="it-IT"/>
        </w:rPr>
        <w:t xml:space="preserve">. </w:t>
      </w:r>
      <w:r w:rsidR="009279AF" w:rsidRPr="00A07F2A">
        <w:rPr>
          <w:rFonts w:ascii="Times New Roman" w:hAnsi="Times New Roman"/>
          <w:sz w:val="23"/>
          <w:szCs w:val="23"/>
          <w:lang w:val="it-IT"/>
        </w:rPr>
        <w:t>Tra chi esprime chiaramente una posizione nei confronti di Expo2015 in rete, in Italia continuano a prevalere i commenti positivi (66,8%</w:t>
      </w:r>
      <w:r w:rsidR="00D23F1B">
        <w:rPr>
          <w:rFonts w:ascii="Times New Roman" w:hAnsi="Times New Roman"/>
          <w:sz w:val="23"/>
          <w:szCs w:val="23"/>
          <w:lang w:val="it-IT"/>
        </w:rPr>
        <w:t xml:space="preserve"> a febbraio</w:t>
      </w:r>
      <w:r w:rsidR="009279AF" w:rsidRPr="00A07F2A">
        <w:rPr>
          <w:rFonts w:ascii="Times New Roman" w:hAnsi="Times New Roman"/>
          <w:sz w:val="23"/>
          <w:szCs w:val="23"/>
          <w:lang w:val="it-IT"/>
        </w:rPr>
        <w:t>), un dato in c</w:t>
      </w:r>
      <w:r w:rsidR="00D23F1B">
        <w:rPr>
          <w:rFonts w:ascii="Times New Roman" w:hAnsi="Times New Roman"/>
          <w:sz w:val="23"/>
          <w:szCs w:val="23"/>
          <w:lang w:val="it-IT"/>
        </w:rPr>
        <w:t xml:space="preserve">rescita rispetto a gennaio </w:t>
      </w:r>
      <w:r w:rsidR="009279AF" w:rsidRPr="00A07F2A">
        <w:rPr>
          <w:rFonts w:ascii="Times New Roman" w:hAnsi="Times New Roman"/>
          <w:sz w:val="23"/>
          <w:szCs w:val="23"/>
          <w:lang w:val="it-IT"/>
        </w:rPr>
        <w:t xml:space="preserve">(+6,1%). </w:t>
      </w:r>
      <w:r w:rsidR="00715E66" w:rsidRPr="00A07F2A">
        <w:rPr>
          <w:rFonts w:ascii="Times New Roman" w:hAnsi="Times New Roman"/>
          <w:sz w:val="23"/>
          <w:szCs w:val="23"/>
          <w:lang w:val="it-IT"/>
        </w:rPr>
        <w:t>7</w:t>
      </w:r>
      <w:r w:rsidRPr="00A07F2A">
        <w:rPr>
          <w:rFonts w:ascii="Times New Roman" w:hAnsi="Times New Roman"/>
          <w:sz w:val="23"/>
          <w:szCs w:val="23"/>
          <w:lang w:val="it-IT"/>
        </w:rPr>
        <w:t xml:space="preserve"> punti percentuali </w:t>
      </w:r>
      <w:r w:rsidR="00715E66" w:rsidRPr="00A07F2A">
        <w:rPr>
          <w:rFonts w:ascii="Times New Roman" w:hAnsi="Times New Roman"/>
          <w:sz w:val="23"/>
          <w:szCs w:val="23"/>
          <w:lang w:val="it-IT"/>
        </w:rPr>
        <w:t xml:space="preserve">in meno del picco di aprile 2013, quando gli ottimisti erano tre italiani su quattro </w:t>
      </w:r>
      <w:r w:rsidR="00D23F1B">
        <w:rPr>
          <w:rFonts w:ascii="Times New Roman" w:hAnsi="Times New Roman"/>
          <w:sz w:val="23"/>
          <w:szCs w:val="23"/>
          <w:lang w:val="it-IT"/>
        </w:rPr>
        <w:t>(</w:t>
      </w:r>
      <w:r w:rsidR="00715E66" w:rsidRPr="00A07F2A">
        <w:rPr>
          <w:rFonts w:ascii="Times New Roman" w:hAnsi="Times New Roman"/>
          <w:sz w:val="23"/>
          <w:szCs w:val="23"/>
          <w:lang w:val="it-IT"/>
        </w:rPr>
        <w:t>73,4%</w:t>
      </w:r>
      <w:r w:rsidR="00D23F1B">
        <w:rPr>
          <w:rFonts w:ascii="Times New Roman" w:hAnsi="Times New Roman"/>
          <w:sz w:val="23"/>
          <w:szCs w:val="23"/>
          <w:lang w:val="it-IT"/>
        </w:rPr>
        <w:t>)</w:t>
      </w:r>
      <w:r w:rsidR="00715E66" w:rsidRPr="00A07F2A">
        <w:rPr>
          <w:rFonts w:ascii="Times New Roman" w:hAnsi="Times New Roman"/>
          <w:sz w:val="23"/>
          <w:szCs w:val="23"/>
          <w:lang w:val="it-IT"/>
        </w:rPr>
        <w:t>.</w:t>
      </w:r>
    </w:p>
    <w:p w:rsidR="009279AF" w:rsidRPr="00A07F2A" w:rsidRDefault="009279AF" w:rsidP="009279AF">
      <w:pPr>
        <w:pStyle w:val="Normale1"/>
        <w:jc w:val="both"/>
        <w:rPr>
          <w:rFonts w:ascii="Times New Roman" w:hAnsi="Times New Roman" w:cs="Times New Roman"/>
          <w:sz w:val="23"/>
          <w:szCs w:val="23"/>
        </w:rPr>
      </w:pPr>
      <w:r w:rsidRPr="00A07F2A">
        <w:rPr>
          <w:rFonts w:ascii="Times New Roman" w:hAnsi="Times New Roman" w:cs="Times New Roman"/>
          <w:sz w:val="23"/>
          <w:szCs w:val="23"/>
        </w:rPr>
        <w:t xml:space="preserve">Tra le ragioni che spiegano la manifestazione di un </w:t>
      </w:r>
      <w:proofErr w:type="spellStart"/>
      <w:r w:rsidRPr="00A07F2A">
        <w:rPr>
          <w:rFonts w:ascii="Times New Roman" w:hAnsi="Times New Roman" w:cs="Times New Roman"/>
          <w:sz w:val="23"/>
          <w:szCs w:val="23"/>
        </w:rPr>
        <w:t>sentiment</w:t>
      </w:r>
      <w:proofErr w:type="spellEnd"/>
      <w:r w:rsidRPr="00A07F2A">
        <w:rPr>
          <w:rFonts w:ascii="Times New Roman" w:hAnsi="Times New Roman" w:cs="Times New Roman"/>
          <w:sz w:val="23"/>
          <w:szCs w:val="23"/>
        </w:rPr>
        <w:t xml:space="preserve"> positivo verso Expo2015, poco più della metà dei post in Italia sottolinea il tema delle partnership internazionali, in questo riflettendo la crescita di adesioni a Expo2015 in questi ultimi mesi. Si sottolinea anche il tema dell’</w:t>
      </w:r>
      <w:proofErr w:type="spellStart"/>
      <w:r w:rsidRPr="00A07F2A">
        <w:rPr>
          <w:rFonts w:ascii="Times New Roman" w:hAnsi="Times New Roman" w:cs="Times New Roman"/>
          <w:sz w:val="23"/>
          <w:szCs w:val="23"/>
        </w:rPr>
        <w:t>ecosostenibilità</w:t>
      </w:r>
      <w:proofErr w:type="spellEnd"/>
      <w:r w:rsidRPr="00A07F2A">
        <w:rPr>
          <w:rFonts w:ascii="Times New Roman" w:hAnsi="Times New Roman" w:cs="Times New Roman"/>
          <w:sz w:val="23"/>
          <w:szCs w:val="23"/>
        </w:rPr>
        <w:t xml:space="preserve"> e di come Expo2015 possa essere una occasione per fare affari e per la crescita dell’occupazione. In calo invece il riferimento alle infrastrutture come elemento positivo di Expo2015 e quello degli eventi collaterali di Expo2015. </w:t>
      </w:r>
    </w:p>
    <w:p w:rsidR="009279AF" w:rsidRDefault="009279AF" w:rsidP="009279AF">
      <w:pPr>
        <w:pStyle w:val="Normale1"/>
        <w:jc w:val="both"/>
        <w:rPr>
          <w:rFonts w:ascii="Times New Roman" w:hAnsi="Times New Roman" w:cs="Times New Roman"/>
          <w:sz w:val="23"/>
          <w:szCs w:val="23"/>
        </w:rPr>
      </w:pPr>
      <w:r w:rsidRPr="00A07F2A">
        <w:rPr>
          <w:rFonts w:ascii="Times New Roman" w:hAnsi="Times New Roman" w:cs="Times New Roman"/>
          <w:sz w:val="23"/>
          <w:szCs w:val="23"/>
        </w:rPr>
        <w:t>I commenti negativi riguardano principalmente tra i post in Italia il tema dei ritardi (39,3%) in forte crescita rispetto a gennaio, così come il rischio della cementificazione. Emerge dall’analisi mensile della Camera di commercio di Milano condotta attraverso Voices from the Blogs</w:t>
      </w:r>
      <w:r w:rsidR="00EC1A75" w:rsidRPr="00A07F2A">
        <w:rPr>
          <w:rFonts w:ascii="Times New Roman" w:hAnsi="Times New Roman" w:cs="Times New Roman"/>
          <w:sz w:val="23"/>
          <w:szCs w:val="23"/>
        </w:rPr>
        <w:t>, spin off dell’Università degli Studi di Milano, (</w:t>
      </w:r>
      <w:r w:rsidR="00EC1A75" w:rsidRPr="00A07F2A">
        <w:rPr>
          <w:rFonts w:ascii="Times New Roman" w:hAnsi="Times New Roman" w:cs="Times New Roman"/>
          <w:bCs/>
          <w:i/>
          <w:sz w:val="23"/>
          <w:szCs w:val="23"/>
        </w:rPr>
        <w:t>www.voicesfromtheblogs.com)</w:t>
      </w:r>
      <w:r w:rsidR="00EC1A75" w:rsidRPr="00A07F2A">
        <w:rPr>
          <w:rFonts w:ascii="Times New Roman" w:hAnsi="Times New Roman" w:cs="Times New Roman"/>
          <w:sz w:val="23"/>
          <w:szCs w:val="23"/>
        </w:rPr>
        <w:t xml:space="preserve"> su 41.380 commenti in Rete pubblicati in italiano che parlano di Expo2015, di cui 4.95</w:t>
      </w:r>
      <w:r w:rsidR="00FD6877" w:rsidRPr="00A07F2A">
        <w:rPr>
          <w:rFonts w:ascii="Times New Roman" w:hAnsi="Times New Roman" w:cs="Times New Roman"/>
          <w:sz w:val="23"/>
          <w:szCs w:val="23"/>
        </w:rPr>
        <w:t>0</w:t>
      </w:r>
      <w:r w:rsidR="00EC1A75" w:rsidRPr="00A07F2A">
        <w:rPr>
          <w:rFonts w:ascii="Times New Roman" w:hAnsi="Times New Roman" w:cs="Times New Roman"/>
          <w:sz w:val="23"/>
          <w:szCs w:val="23"/>
        </w:rPr>
        <w:t xml:space="preserve"> a Milano.</w:t>
      </w:r>
    </w:p>
    <w:p w:rsidR="005E3DA6" w:rsidRPr="00A07F2A" w:rsidRDefault="005E3DA6" w:rsidP="009279AF">
      <w:pPr>
        <w:pStyle w:val="Normale1"/>
        <w:jc w:val="both"/>
        <w:rPr>
          <w:rFonts w:ascii="Times New Roman" w:hAnsi="Times New Roman" w:cs="Times New Roman"/>
          <w:sz w:val="23"/>
          <w:szCs w:val="23"/>
        </w:rPr>
      </w:pPr>
    </w:p>
    <w:p w:rsidR="00902713" w:rsidRPr="00B90016" w:rsidRDefault="007214F5" w:rsidP="0090271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i/>
          <w:sz w:val="23"/>
          <w:szCs w:val="23"/>
          <w:lang w:val="it-IT"/>
        </w:rPr>
      </w:pPr>
      <w:r w:rsidRPr="007214F5">
        <w:rPr>
          <w:rFonts w:ascii="Times New Roman" w:eastAsiaTheme="minorHAnsi" w:hAnsi="Times New Roman"/>
          <w:i/>
          <w:sz w:val="23"/>
          <w:szCs w:val="23"/>
          <w:lang w:val="it-IT"/>
        </w:rPr>
        <w:t>“</w:t>
      </w:r>
      <w:r w:rsidR="00902713" w:rsidRPr="00B90016">
        <w:rPr>
          <w:rFonts w:ascii="Times New Roman" w:eastAsiaTheme="minorHAnsi" w:hAnsi="Times New Roman"/>
          <w:i/>
          <w:sz w:val="23"/>
          <w:szCs w:val="23"/>
          <w:lang w:val="it-IT"/>
        </w:rPr>
        <w:t xml:space="preserve">É importante, per il successo di Expo, </w:t>
      </w:r>
      <w:r w:rsidR="00902713" w:rsidRPr="007214F5">
        <w:rPr>
          <w:rFonts w:ascii="Times New Roman" w:eastAsiaTheme="minorHAnsi" w:hAnsi="Times New Roman"/>
          <w:i/>
          <w:sz w:val="23"/>
          <w:szCs w:val="23"/>
          <w:lang w:val="it-IT"/>
        </w:rPr>
        <w:t xml:space="preserve">– </w:t>
      </w:r>
      <w:r w:rsidR="00902713" w:rsidRPr="007214F5">
        <w:rPr>
          <w:rFonts w:ascii="Times New Roman" w:eastAsiaTheme="minorHAnsi" w:hAnsi="Times New Roman"/>
          <w:sz w:val="23"/>
          <w:szCs w:val="23"/>
          <w:lang w:val="it-IT"/>
        </w:rPr>
        <w:t xml:space="preserve">ha dichiarato </w:t>
      </w:r>
      <w:r w:rsidR="00902713" w:rsidRPr="007214F5">
        <w:rPr>
          <w:rFonts w:ascii="Times New Roman" w:eastAsiaTheme="minorHAnsi" w:hAnsi="Times New Roman"/>
          <w:b/>
          <w:sz w:val="23"/>
          <w:szCs w:val="23"/>
          <w:lang w:val="it-IT"/>
        </w:rPr>
        <w:t>Carlo Sangalli</w:t>
      </w:r>
      <w:r w:rsidR="00902713" w:rsidRPr="007214F5">
        <w:rPr>
          <w:rFonts w:ascii="Times New Roman" w:eastAsiaTheme="minorHAnsi" w:hAnsi="Times New Roman"/>
          <w:sz w:val="23"/>
          <w:szCs w:val="23"/>
          <w:lang w:val="it-IT"/>
        </w:rPr>
        <w:t xml:space="preserve">, presidente della Camera di commercio di Milano </w:t>
      </w:r>
      <w:r w:rsidR="00902713" w:rsidRPr="007214F5">
        <w:rPr>
          <w:rFonts w:ascii="Times New Roman" w:eastAsiaTheme="minorHAnsi" w:hAnsi="Times New Roman"/>
          <w:i/>
          <w:sz w:val="23"/>
          <w:szCs w:val="23"/>
          <w:lang w:val="it-IT"/>
        </w:rPr>
        <w:t>-</w:t>
      </w:r>
      <w:r w:rsidR="00902713" w:rsidRPr="00B90016">
        <w:rPr>
          <w:rFonts w:ascii="Times New Roman" w:eastAsiaTheme="minorHAnsi" w:hAnsi="Times New Roman"/>
          <w:i/>
          <w:sz w:val="23"/>
          <w:szCs w:val="23"/>
          <w:lang w:val="it-IT"/>
        </w:rPr>
        <w:t xml:space="preserve">mantenere il clima di collaborazione tra istituzioni che si è faticosamente costruito nel tempo. Siamo certi che anche il governo del presidente del Consiglio, Matteo </w:t>
      </w:r>
      <w:proofErr w:type="spellStart"/>
      <w:r w:rsidR="00902713" w:rsidRPr="00B90016">
        <w:rPr>
          <w:rFonts w:ascii="Times New Roman" w:eastAsiaTheme="minorHAnsi" w:hAnsi="Times New Roman"/>
          <w:i/>
          <w:sz w:val="23"/>
          <w:szCs w:val="23"/>
          <w:lang w:val="it-IT"/>
        </w:rPr>
        <w:t>Renzi</w:t>
      </w:r>
      <w:proofErr w:type="spellEnd"/>
      <w:r w:rsidR="00902713" w:rsidRPr="00B90016">
        <w:rPr>
          <w:rFonts w:ascii="Times New Roman" w:eastAsiaTheme="minorHAnsi" w:hAnsi="Times New Roman"/>
          <w:i/>
          <w:sz w:val="23"/>
          <w:szCs w:val="23"/>
          <w:lang w:val="it-IT"/>
        </w:rPr>
        <w:t xml:space="preserve"> - come confermano i suoi quattro ministri presenti a Milano - sosterrà concretamente l'Esposizione Universale. Anche perché è l'unico progetto di ampio respiro che abbiamo all'orizzonte non solo milanese ma italiano.</w:t>
      </w:r>
    </w:p>
    <w:p w:rsidR="00902713" w:rsidRPr="00B90016" w:rsidRDefault="00902713" w:rsidP="0090271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i/>
          <w:sz w:val="23"/>
          <w:szCs w:val="23"/>
          <w:lang w:val="it-IT"/>
        </w:rPr>
      </w:pPr>
      <w:r w:rsidRPr="00B90016">
        <w:rPr>
          <w:rFonts w:ascii="Times New Roman" w:eastAsiaTheme="minorHAnsi" w:hAnsi="Times New Roman"/>
          <w:i/>
          <w:sz w:val="23"/>
          <w:szCs w:val="23"/>
          <w:lang w:val="it-IT"/>
        </w:rPr>
        <w:t>Expo cammina sulle spalle delle imprese. Molte sono già impegnate nei cantieri del sito espositivo e altre nei progetti legati al 2015. Anche il fuori Expo sarà una sfida da vincere di grande rilevanza e dovrà coinvolgere tutto il mondo delle imprese a beneficio dell'economia del territorio</w:t>
      </w:r>
      <w:r w:rsidR="005E3DA6">
        <w:rPr>
          <w:rFonts w:ascii="Times New Roman" w:eastAsiaTheme="minorHAnsi" w:hAnsi="Times New Roman"/>
          <w:i/>
          <w:sz w:val="23"/>
          <w:szCs w:val="23"/>
          <w:lang w:val="it-IT"/>
        </w:rPr>
        <w:t>”</w:t>
      </w:r>
      <w:r w:rsidRPr="00B90016">
        <w:rPr>
          <w:rFonts w:ascii="Times New Roman" w:eastAsiaTheme="minorHAnsi" w:hAnsi="Times New Roman"/>
          <w:i/>
          <w:sz w:val="23"/>
          <w:szCs w:val="23"/>
          <w:lang w:val="it-IT"/>
        </w:rPr>
        <w:t>.</w:t>
      </w:r>
    </w:p>
    <w:p w:rsidR="00902713" w:rsidRDefault="00902713" w:rsidP="007214F5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3"/>
          <w:szCs w:val="23"/>
          <w:lang w:val="it-IT"/>
        </w:rPr>
      </w:pPr>
    </w:p>
    <w:p w:rsidR="006A3F18" w:rsidRDefault="000F5D4F" w:rsidP="000F5D4F">
      <w:pPr>
        <w:spacing w:before="0"/>
        <w:jc w:val="center"/>
        <w:rPr>
          <w:sz w:val="24"/>
          <w:lang w:val="it-IT"/>
        </w:rPr>
      </w:pPr>
      <w:r w:rsidRPr="000F5D4F">
        <w:rPr>
          <w:rFonts w:ascii="Times New Roman" w:eastAsiaTheme="minorHAnsi" w:hAnsi="Times New Roman"/>
          <w:b/>
          <w:sz w:val="28"/>
          <w:szCs w:val="28"/>
          <w:lang w:val="it-IT"/>
        </w:rPr>
        <w:t>Expo in cifre</w:t>
      </w:r>
      <w:r w:rsidR="006A3F18" w:rsidRPr="006A3F18">
        <w:rPr>
          <w:sz w:val="24"/>
          <w:lang w:val="it-IT"/>
        </w:rPr>
        <w:t xml:space="preserve"> </w:t>
      </w:r>
    </w:p>
    <w:p w:rsidR="000F5D4F" w:rsidRPr="000F5D4F" w:rsidRDefault="006A3F18" w:rsidP="000F5D4F">
      <w:pPr>
        <w:spacing w:before="0"/>
        <w:jc w:val="center"/>
        <w:rPr>
          <w:rFonts w:ascii="Times New Roman" w:eastAsiaTheme="minorHAnsi" w:hAnsi="Times New Roman"/>
          <w:b/>
          <w:sz w:val="28"/>
          <w:szCs w:val="28"/>
          <w:lang w:val="it-IT"/>
        </w:rPr>
      </w:pPr>
      <w:r>
        <w:rPr>
          <w:sz w:val="24"/>
          <w:lang w:val="it-IT"/>
        </w:rPr>
        <w:t>(</w:t>
      </w:r>
      <w:r w:rsidRPr="006A3F18">
        <w:rPr>
          <w:sz w:val="24"/>
          <w:lang w:val="it-IT"/>
        </w:rPr>
        <w:t xml:space="preserve">da una ricerca sull’impatto economico diretto e </w:t>
      </w:r>
      <w:proofErr w:type="spellStart"/>
      <w:r w:rsidRPr="006A3F18">
        <w:rPr>
          <w:sz w:val="24"/>
          <w:lang w:val="it-IT"/>
        </w:rPr>
        <w:t>legacy</w:t>
      </w:r>
      <w:proofErr w:type="spellEnd"/>
      <w:r w:rsidRPr="006A3F18">
        <w:rPr>
          <w:sz w:val="24"/>
          <w:lang w:val="it-IT"/>
        </w:rPr>
        <w:t xml:space="preserve"> dell’evento promosso dalla Camera di Commercio di Milano e dalla Società Expo 2015 e affidata a un team di analisti economici</w:t>
      </w:r>
      <w:r>
        <w:rPr>
          <w:sz w:val="24"/>
          <w:lang w:val="it-IT"/>
        </w:rPr>
        <w:t>)</w:t>
      </w:r>
    </w:p>
    <w:p w:rsidR="000F5D4F" w:rsidRPr="000F5D4F" w:rsidRDefault="000F5D4F" w:rsidP="000F5D4F">
      <w:pPr>
        <w:spacing w:before="0"/>
        <w:rPr>
          <w:rFonts w:ascii="Times New Roman" w:eastAsiaTheme="minorHAnsi" w:hAnsi="Times New Roman"/>
          <w:b/>
          <w:sz w:val="24"/>
          <w:szCs w:val="24"/>
          <w:lang w:val="it-IT"/>
        </w:rPr>
      </w:pPr>
      <w:r w:rsidRPr="000F5D4F">
        <w:rPr>
          <w:rFonts w:ascii="Times New Roman" w:eastAsiaTheme="minorHAnsi" w:hAnsi="Times New Roman"/>
          <w:b/>
          <w:sz w:val="24"/>
          <w:szCs w:val="24"/>
          <w:lang w:val="it-IT"/>
        </w:rPr>
        <w:t>Lavoro</w:t>
      </w:r>
      <w:r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 </w:t>
      </w:r>
    </w:p>
    <w:p w:rsidR="000F5D4F" w:rsidRPr="000F5D4F" w:rsidRDefault="000F5D4F" w:rsidP="000F5D4F">
      <w:pPr>
        <w:spacing w:before="0"/>
        <w:rPr>
          <w:rFonts w:ascii="Times New Roman" w:eastAsiaTheme="minorHAnsi" w:hAnsi="Times New Roman"/>
          <w:sz w:val="24"/>
          <w:szCs w:val="24"/>
          <w:lang w:val="it-IT"/>
        </w:rPr>
      </w:pPr>
      <w:r w:rsidRPr="000F5D4F">
        <w:rPr>
          <w:rFonts w:ascii="Times New Roman" w:eastAsiaTheme="minorHAnsi" w:hAnsi="Times New Roman"/>
          <w:sz w:val="24"/>
          <w:szCs w:val="24"/>
          <w:lang w:val="it-IT"/>
        </w:rPr>
        <w:t>102 mila unità di lavoro aggiuntive a Milano</w:t>
      </w:r>
      <w:r>
        <w:rPr>
          <w:rFonts w:ascii="Times New Roman" w:eastAsiaTheme="minorHAnsi" w:hAnsi="Times New Roman"/>
          <w:sz w:val="24"/>
          <w:szCs w:val="24"/>
          <w:lang w:val="it-IT"/>
        </w:rPr>
        <w:t xml:space="preserve">, </w:t>
      </w:r>
      <w:r w:rsidRPr="000F5D4F">
        <w:rPr>
          <w:rFonts w:ascii="Times New Roman" w:eastAsiaTheme="minorHAnsi" w:hAnsi="Times New Roman"/>
          <w:sz w:val="24"/>
          <w:szCs w:val="24"/>
          <w:lang w:val="it-IT"/>
        </w:rPr>
        <w:t>27 mila nel resto della Lombardia</w:t>
      </w:r>
      <w:r>
        <w:rPr>
          <w:rFonts w:ascii="Times New Roman" w:eastAsiaTheme="minorHAnsi" w:hAnsi="Times New Roman"/>
          <w:sz w:val="24"/>
          <w:szCs w:val="24"/>
          <w:lang w:val="it-IT"/>
        </w:rPr>
        <w:t xml:space="preserve">, </w:t>
      </w:r>
      <w:r w:rsidRPr="000F5D4F">
        <w:rPr>
          <w:rFonts w:ascii="Times New Roman" w:eastAsiaTheme="minorHAnsi" w:hAnsi="Times New Roman"/>
          <w:sz w:val="24"/>
          <w:szCs w:val="24"/>
          <w:lang w:val="it-IT"/>
        </w:rPr>
        <w:t>191 mila in tutta Italia</w:t>
      </w:r>
    </w:p>
    <w:p w:rsidR="000F5D4F" w:rsidRPr="000F5D4F" w:rsidRDefault="000F5D4F" w:rsidP="000F5D4F">
      <w:pPr>
        <w:spacing w:before="0"/>
        <w:rPr>
          <w:rFonts w:ascii="Times New Roman" w:eastAsiaTheme="minorHAnsi" w:hAnsi="Times New Roman"/>
          <w:b/>
          <w:sz w:val="24"/>
          <w:szCs w:val="24"/>
          <w:lang w:val="it-IT"/>
        </w:rPr>
      </w:pPr>
      <w:r w:rsidRPr="000F5D4F">
        <w:rPr>
          <w:rFonts w:ascii="Times New Roman" w:eastAsiaTheme="minorHAnsi" w:hAnsi="Times New Roman"/>
          <w:b/>
          <w:sz w:val="24"/>
          <w:szCs w:val="24"/>
          <w:lang w:val="it-IT"/>
        </w:rPr>
        <w:t>Produzione aggiuntiva</w:t>
      </w:r>
    </w:p>
    <w:p w:rsidR="000F5D4F" w:rsidRPr="000F5D4F" w:rsidRDefault="000F5D4F" w:rsidP="000F5D4F">
      <w:pPr>
        <w:spacing w:before="0"/>
        <w:rPr>
          <w:rFonts w:ascii="Times New Roman" w:eastAsiaTheme="minorHAnsi" w:hAnsi="Times New Roman"/>
          <w:sz w:val="24"/>
          <w:szCs w:val="24"/>
          <w:lang w:val="it-IT"/>
        </w:rPr>
      </w:pPr>
      <w:r w:rsidRPr="000F5D4F">
        <w:rPr>
          <w:rFonts w:ascii="Times New Roman" w:eastAsiaTheme="minorHAnsi" w:hAnsi="Times New Roman"/>
          <w:sz w:val="24"/>
          <w:szCs w:val="24"/>
          <w:lang w:val="it-IT"/>
        </w:rPr>
        <w:t>12,7 miliardi a Milano</w:t>
      </w:r>
      <w:r>
        <w:rPr>
          <w:rFonts w:ascii="Times New Roman" w:eastAsiaTheme="minorHAnsi" w:hAnsi="Times New Roman"/>
          <w:sz w:val="24"/>
          <w:szCs w:val="24"/>
          <w:lang w:val="it-IT"/>
        </w:rPr>
        <w:t xml:space="preserve">, </w:t>
      </w:r>
      <w:r w:rsidRPr="000F5D4F">
        <w:rPr>
          <w:rFonts w:ascii="Times New Roman" w:eastAsiaTheme="minorHAnsi" w:hAnsi="Times New Roman"/>
          <w:sz w:val="24"/>
          <w:szCs w:val="24"/>
          <w:lang w:val="it-IT"/>
        </w:rPr>
        <w:t>15,8 miliardi in tutta la Lombardia</w:t>
      </w:r>
      <w:r>
        <w:rPr>
          <w:rFonts w:ascii="Times New Roman" w:eastAsiaTheme="minorHAnsi" w:hAnsi="Times New Roman"/>
          <w:sz w:val="24"/>
          <w:szCs w:val="24"/>
          <w:lang w:val="it-IT"/>
        </w:rPr>
        <w:t xml:space="preserve">, </w:t>
      </w:r>
      <w:r w:rsidRPr="000F5D4F">
        <w:rPr>
          <w:rFonts w:ascii="Times New Roman" w:eastAsiaTheme="minorHAnsi" w:hAnsi="Times New Roman"/>
          <w:sz w:val="24"/>
          <w:szCs w:val="24"/>
          <w:lang w:val="it-IT"/>
        </w:rPr>
        <w:t>23,6 in tutta Italia</w:t>
      </w:r>
    </w:p>
    <w:p w:rsidR="000F5D4F" w:rsidRPr="000F5D4F" w:rsidRDefault="000F5D4F" w:rsidP="000F5D4F">
      <w:pPr>
        <w:spacing w:before="0"/>
        <w:rPr>
          <w:rFonts w:ascii="Times New Roman" w:eastAsiaTheme="minorHAnsi" w:hAnsi="Times New Roman"/>
          <w:b/>
          <w:sz w:val="24"/>
          <w:szCs w:val="24"/>
          <w:lang w:val="it-IT"/>
        </w:rPr>
      </w:pPr>
      <w:r w:rsidRPr="000F5D4F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Settori con più benefici </w:t>
      </w:r>
    </w:p>
    <w:p w:rsidR="000F5D4F" w:rsidRPr="000F5D4F" w:rsidRDefault="000F5D4F" w:rsidP="000F5D4F">
      <w:pPr>
        <w:spacing w:before="0"/>
        <w:rPr>
          <w:rFonts w:ascii="Times New Roman" w:eastAsiaTheme="minorHAnsi" w:hAnsi="Times New Roman"/>
          <w:sz w:val="24"/>
          <w:szCs w:val="24"/>
          <w:lang w:val="it-IT"/>
        </w:rPr>
      </w:pPr>
      <w:r w:rsidRPr="000F5D4F">
        <w:rPr>
          <w:rFonts w:ascii="Times New Roman" w:eastAsiaTheme="minorHAnsi" w:hAnsi="Times New Roman"/>
          <w:sz w:val="24"/>
          <w:szCs w:val="24"/>
          <w:lang w:val="it-IT"/>
        </w:rPr>
        <w:t>Turismo per occupazione (40mila unità in Italia)</w:t>
      </w:r>
      <w:r>
        <w:rPr>
          <w:rFonts w:ascii="Times New Roman" w:eastAsiaTheme="minorHAnsi" w:hAnsi="Times New Roman"/>
          <w:sz w:val="24"/>
          <w:szCs w:val="24"/>
          <w:lang w:val="it-IT"/>
        </w:rPr>
        <w:t>, i</w:t>
      </w:r>
      <w:r w:rsidRPr="000F5D4F">
        <w:rPr>
          <w:rFonts w:ascii="Times New Roman" w:eastAsiaTheme="minorHAnsi" w:hAnsi="Times New Roman"/>
          <w:sz w:val="24"/>
          <w:szCs w:val="24"/>
          <w:lang w:val="it-IT"/>
        </w:rPr>
        <w:t>ndustria per la produzione aggiuntiva (6 miliardi)</w:t>
      </w:r>
    </w:p>
    <w:p w:rsidR="000F5D4F" w:rsidRDefault="000F5D4F">
      <w:pPr>
        <w:spacing w:before="0"/>
        <w:rPr>
          <w:rFonts w:ascii="Calibri" w:eastAsia="Times New Roman" w:hAnsi="Calibri" w:cs="Arial"/>
          <w:i/>
          <w:iCs/>
          <w:color w:val="000000"/>
          <w:sz w:val="24"/>
          <w:szCs w:val="24"/>
          <w:lang w:val="it-IT" w:eastAsia="it-IT"/>
        </w:rPr>
      </w:pPr>
      <w:r>
        <w:rPr>
          <w:rFonts w:ascii="Calibri" w:eastAsia="Times New Roman" w:hAnsi="Calibri" w:cs="Arial"/>
          <w:i/>
          <w:iCs/>
          <w:color w:val="000000"/>
          <w:sz w:val="24"/>
          <w:szCs w:val="24"/>
          <w:lang w:val="it-IT" w:eastAsia="it-IT"/>
        </w:rPr>
        <w:br w:type="page"/>
      </w:r>
    </w:p>
    <w:p w:rsidR="00D01943" w:rsidRDefault="00D01943">
      <w:pPr>
        <w:spacing w:before="0"/>
        <w:rPr>
          <w:rFonts w:ascii="Calibri" w:eastAsia="Times New Roman" w:hAnsi="Calibri" w:cs="Arial"/>
          <w:i/>
          <w:iCs/>
          <w:color w:val="000000"/>
          <w:sz w:val="24"/>
          <w:szCs w:val="24"/>
          <w:lang w:val="it-IT" w:eastAsia="it-IT"/>
        </w:rPr>
      </w:pPr>
    </w:p>
    <w:p w:rsidR="009279AF" w:rsidRDefault="00FD6877" w:rsidP="001F607C">
      <w:pPr>
        <w:pStyle w:val="Normale1"/>
        <w:jc w:val="center"/>
        <w:rPr>
          <w:rFonts w:asciiTheme="minorHAnsi" w:hAnsiTheme="minorHAnsi"/>
          <w:sz w:val="24"/>
          <w:szCs w:val="24"/>
        </w:rPr>
      </w:pPr>
      <w:proofErr w:type="spellStart"/>
      <w:r w:rsidRPr="00FD6877">
        <w:rPr>
          <w:rFonts w:ascii="Calibri" w:eastAsia="Times New Roman" w:hAnsi="Calibri"/>
          <w:i/>
          <w:iCs/>
          <w:sz w:val="24"/>
          <w:szCs w:val="24"/>
          <w:lang w:eastAsia="it-IT"/>
        </w:rPr>
        <w:t>Sentiment</w:t>
      </w:r>
      <w:proofErr w:type="spellEnd"/>
      <w:r w:rsidRPr="00FD6877">
        <w:rPr>
          <w:rFonts w:ascii="Calibri" w:eastAsia="Times New Roman" w:hAnsi="Calibri"/>
          <w:i/>
          <w:iCs/>
          <w:sz w:val="24"/>
          <w:szCs w:val="24"/>
          <w:lang w:eastAsia="it-IT"/>
        </w:rPr>
        <w:t xml:space="preserve"> verso Expo2105 al netto dei commenti neutri</w:t>
      </w:r>
    </w:p>
    <w:tbl>
      <w:tblPr>
        <w:tblW w:w="39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960"/>
        <w:gridCol w:w="960"/>
        <w:gridCol w:w="1064"/>
      </w:tblGrid>
      <w:tr w:rsidR="00FD6877" w:rsidRPr="005E3DA6" w:rsidTr="00715E66">
        <w:trPr>
          <w:trHeight w:val="33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FD6877" w:rsidRPr="00FD6877" w:rsidTr="00715E66">
        <w:trPr>
          <w:trHeight w:val="315"/>
          <w:jc w:val="center"/>
        </w:trPr>
        <w:tc>
          <w:tcPr>
            <w:tcW w:w="102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  <w:t>Italia</w:t>
            </w:r>
          </w:p>
        </w:tc>
        <w:tc>
          <w:tcPr>
            <w:tcW w:w="96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gennaio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febbraio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715E66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</w:t>
            </w:r>
            <w:r w:rsidR="00FD6877"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ifferenza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positivi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60,70%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66,80%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6,10%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negativi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39,30%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33,20%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</w:tr>
      <w:tr w:rsidR="00FD6877" w:rsidRPr="00FD6877" w:rsidTr="00715E66">
        <w:trPr>
          <w:trHeight w:val="315"/>
          <w:jc w:val="center"/>
        </w:trPr>
        <w:tc>
          <w:tcPr>
            <w:tcW w:w="1021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saldo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21,30%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33,50%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6EED5"/>
            <w:vAlign w:val="bottom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</w:tr>
    </w:tbl>
    <w:p w:rsidR="00FD6877" w:rsidRDefault="00FD6877" w:rsidP="009279AF">
      <w:pPr>
        <w:spacing w:before="0" w:after="0"/>
        <w:jc w:val="center"/>
        <w:rPr>
          <w:i/>
          <w:sz w:val="24"/>
          <w:szCs w:val="24"/>
          <w:lang w:val="it-IT"/>
        </w:rPr>
      </w:pPr>
    </w:p>
    <w:p w:rsidR="009279AF" w:rsidRDefault="009279AF" w:rsidP="009279AF">
      <w:pPr>
        <w:spacing w:before="0" w:after="0"/>
        <w:jc w:val="center"/>
        <w:rPr>
          <w:i/>
          <w:sz w:val="24"/>
          <w:szCs w:val="24"/>
          <w:lang w:val="it-IT"/>
        </w:rPr>
      </w:pPr>
      <w:proofErr w:type="spellStart"/>
      <w:r w:rsidRPr="00397141">
        <w:rPr>
          <w:i/>
          <w:sz w:val="24"/>
          <w:szCs w:val="24"/>
          <w:lang w:val="it-IT"/>
        </w:rPr>
        <w:t>Sentiment</w:t>
      </w:r>
      <w:proofErr w:type="spellEnd"/>
      <w:r w:rsidRPr="00397141">
        <w:rPr>
          <w:i/>
          <w:sz w:val="24"/>
          <w:szCs w:val="24"/>
          <w:lang w:val="it-IT"/>
        </w:rPr>
        <w:t xml:space="preserve"> verso </w:t>
      </w:r>
      <w:r>
        <w:rPr>
          <w:i/>
          <w:sz w:val="24"/>
          <w:szCs w:val="24"/>
          <w:lang w:val="it-IT"/>
        </w:rPr>
        <w:t xml:space="preserve">Expo2105: serie storica (dato per il </w:t>
      </w:r>
      <w:proofErr w:type="spellStart"/>
      <w:r>
        <w:rPr>
          <w:i/>
          <w:sz w:val="24"/>
          <w:szCs w:val="24"/>
          <w:lang w:val="it-IT"/>
        </w:rPr>
        <w:t>sentiment</w:t>
      </w:r>
      <w:proofErr w:type="spellEnd"/>
      <w:r>
        <w:rPr>
          <w:i/>
          <w:sz w:val="24"/>
          <w:szCs w:val="24"/>
          <w:lang w:val="it-IT"/>
        </w:rPr>
        <w:t xml:space="preserve"> positivo)</w:t>
      </w:r>
    </w:p>
    <w:tbl>
      <w:tblPr>
        <w:tblW w:w="319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960"/>
      </w:tblGrid>
      <w:tr w:rsidR="00FD6877" w:rsidRPr="00FD6877" w:rsidTr="00715E66">
        <w:trPr>
          <w:trHeight w:val="315"/>
          <w:jc w:val="center"/>
        </w:trPr>
        <w:tc>
          <w:tcPr>
            <w:tcW w:w="223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943634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943634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  <w:t>Italia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000000" w:fill="EFD3D2"/>
            <w:noWrap/>
            <w:vAlign w:val="center"/>
            <w:hideMark/>
          </w:tcPr>
          <w:p w:rsidR="00FD6877" w:rsidRPr="00FD6877" w:rsidRDefault="00FD6877" w:rsidP="00715E66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feb-14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FD3D2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66,80%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715E66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gen-14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60,70%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000000" w:fill="EFD3D2"/>
            <w:noWrap/>
            <w:vAlign w:val="center"/>
            <w:hideMark/>
          </w:tcPr>
          <w:p w:rsidR="00FD6877" w:rsidRPr="00FD6877" w:rsidRDefault="00FD6877" w:rsidP="00715E66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apr-13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FD3D2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73,40%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715E66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ott-12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63,20%</w:t>
            </w:r>
          </w:p>
        </w:tc>
      </w:tr>
      <w:tr w:rsidR="00FD6877" w:rsidRPr="00FD6877" w:rsidTr="00715E66">
        <w:trPr>
          <w:trHeight w:val="315"/>
          <w:jc w:val="center"/>
        </w:trPr>
        <w:tc>
          <w:tcPr>
            <w:tcW w:w="2237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000000" w:fill="EFD3D2"/>
            <w:noWrap/>
            <w:vAlign w:val="center"/>
            <w:hideMark/>
          </w:tcPr>
          <w:p w:rsidR="00FD6877" w:rsidRPr="00FD6877" w:rsidRDefault="00FD6877" w:rsidP="00715E66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apr-12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000000" w:fill="EFD3D2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69,00%</w:t>
            </w:r>
          </w:p>
        </w:tc>
      </w:tr>
    </w:tbl>
    <w:p w:rsidR="00D01943" w:rsidRDefault="00D01943" w:rsidP="001F607C">
      <w:pPr>
        <w:spacing w:before="0"/>
        <w:jc w:val="center"/>
        <w:rPr>
          <w:i/>
          <w:sz w:val="24"/>
          <w:szCs w:val="24"/>
          <w:lang w:val="it-IT"/>
        </w:rPr>
      </w:pPr>
    </w:p>
    <w:p w:rsidR="009279AF" w:rsidRDefault="009279AF" w:rsidP="001F607C">
      <w:pPr>
        <w:spacing w:before="0"/>
        <w:jc w:val="center"/>
        <w:rPr>
          <w:i/>
          <w:sz w:val="24"/>
          <w:szCs w:val="24"/>
          <w:lang w:val="it-IT"/>
        </w:rPr>
      </w:pPr>
      <w:r w:rsidRPr="00397141">
        <w:rPr>
          <w:i/>
          <w:sz w:val="24"/>
          <w:szCs w:val="24"/>
          <w:lang w:val="it-IT"/>
        </w:rPr>
        <w:t xml:space="preserve">Le ragioni di un </w:t>
      </w:r>
      <w:proofErr w:type="spellStart"/>
      <w:r w:rsidRPr="00397141">
        <w:rPr>
          <w:i/>
          <w:sz w:val="24"/>
          <w:szCs w:val="24"/>
          <w:lang w:val="it-IT"/>
        </w:rPr>
        <w:t>sentiment</w:t>
      </w:r>
      <w:proofErr w:type="spellEnd"/>
      <w:r w:rsidRPr="00397141">
        <w:rPr>
          <w:i/>
          <w:sz w:val="24"/>
          <w:szCs w:val="24"/>
          <w:lang w:val="it-IT"/>
        </w:rPr>
        <w:t xml:space="preserve"> positivo </w:t>
      </w:r>
      <w:r>
        <w:rPr>
          <w:i/>
          <w:sz w:val="24"/>
          <w:szCs w:val="24"/>
          <w:lang w:val="it-IT"/>
        </w:rPr>
        <w:t>verso Expo2015</w:t>
      </w:r>
    </w:p>
    <w:tbl>
      <w:tblPr>
        <w:tblW w:w="5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960"/>
        <w:gridCol w:w="960"/>
        <w:gridCol w:w="1044"/>
      </w:tblGrid>
      <w:tr w:rsidR="00FD6877" w:rsidRPr="005E3DA6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  <w:t>Italia</w:t>
            </w:r>
          </w:p>
        </w:tc>
        <w:tc>
          <w:tcPr>
            <w:tcW w:w="96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04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gennaio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febbraio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differenza</w:t>
            </w: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Infrastrutture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10,40%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4,20%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-6,20%</w:t>
            </w: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proofErr w:type="spellStart"/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Ecosostenibilità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8,80%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4,80%</w:t>
            </w: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Educazione alimentare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5,30%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1,70%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-3,60%</w:t>
            </w: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Partnership internazionali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54,30%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37,90%</w:t>
            </w: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Affari e occupazione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6,90%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3,50%</w:t>
            </w: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Eventi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41,80%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11,50%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-30,30%</w:t>
            </w: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Italianità e orgoglio nazionale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2,60%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1,90%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-0,70%</w:t>
            </w: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Turismo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0,80%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3,00%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2,20%</w:t>
            </w:r>
          </w:p>
        </w:tc>
      </w:tr>
      <w:tr w:rsidR="00FD6877" w:rsidRPr="00FD6877" w:rsidTr="002C19C5">
        <w:trPr>
          <w:trHeight w:val="20"/>
          <w:jc w:val="center"/>
        </w:trPr>
        <w:tc>
          <w:tcPr>
            <w:tcW w:w="2663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Altro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15,30%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7,70%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-7,60%</w:t>
            </w:r>
          </w:p>
        </w:tc>
      </w:tr>
    </w:tbl>
    <w:p w:rsidR="009279AF" w:rsidRDefault="009279AF" w:rsidP="009279AF">
      <w:pPr>
        <w:spacing w:before="0" w:after="0"/>
        <w:jc w:val="center"/>
        <w:rPr>
          <w:i/>
          <w:sz w:val="24"/>
          <w:szCs w:val="24"/>
          <w:lang w:val="it-IT"/>
        </w:rPr>
      </w:pPr>
      <w:r w:rsidRPr="00397141">
        <w:rPr>
          <w:i/>
          <w:sz w:val="24"/>
          <w:szCs w:val="24"/>
          <w:lang w:val="it-IT"/>
        </w:rPr>
        <w:t xml:space="preserve">Le ragioni di un </w:t>
      </w:r>
      <w:proofErr w:type="spellStart"/>
      <w:r w:rsidRPr="00397141">
        <w:rPr>
          <w:i/>
          <w:sz w:val="24"/>
          <w:szCs w:val="24"/>
          <w:lang w:val="it-IT"/>
        </w:rPr>
        <w:t>sentiment</w:t>
      </w:r>
      <w:proofErr w:type="spellEnd"/>
      <w:r w:rsidRPr="00397141">
        <w:rPr>
          <w:i/>
          <w:sz w:val="24"/>
          <w:szCs w:val="24"/>
          <w:lang w:val="it-IT"/>
        </w:rPr>
        <w:t xml:space="preserve"> negativo</w:t>
      </w:r>
      <w:r>
        <w:rPr>
          <w:i/>
          <w:sz w:val="24"/>
          <w:szCs w:val="24"/>
          <w:lang w:val="it-IT"/>
        </w:rPr>
        <w:t xml:space="preserve"> verso Expo2015</w:t>
      </w:r>
    </w:p>
    <w:tbl>
      <w:tblPr>
        <w:tblW w:w="504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960"/>
        <w:gridCol w:w="960"/>
        <w:gridCol w:w="1044"/>
      </w:tblGrid>
      <w:tr w:rsidR="00FD6877" w:rsidRPr="00FD6877" w:rsidTr="00715E66">
        <w:trPr>
          <w:trHeight w:val="315"/>
          <w:jc w:val="center"/>
        </w:trPr>
        <w:tc>
          <w:tcPr>
            <w:tcW w:w="216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t-IT" w:eastAsia="it-IT"/>
              </w:rPr>
              <w:t>Italia</w:t>
            </w:r>
          </w:p>
        </w:tc>
        <w:tc>
          <w:tcPr>
            <w:tcW w:w="96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gennaio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febbraio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differenza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76923C"/>
                <w:sz w:val="22"/>
                <w:szCs w:val="22"/>
                <w:lang w:val="it-IT" w:eastAsia="it-IT"/>
              </w:rPr>
            </w:pP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Cementificazione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8,80%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6,40%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Disorganizzazione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12,90%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6,50%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-6,40%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Criminalità e corruzione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0,00%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Dissapori politici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46,70%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24,80%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-21,90%</w:t>
            </w:r>
          </w:p>
        </w:tc>
      </w:tr>
      <w:tr w:rsidR="00FD6877" w:rsidRPr="00FD6877" w:rsidTr="00715E66">
        <w:trPr>
          <w:trHeight w:val="300"/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Ritardi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16,20%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39,30%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EED5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23,10%</w:t>
            </w:r>
          </w:p>
        </w:tc>
      </w:tr>
      <w:tr w:rsidR="00FD6877" w:rsidRPr="00FD6877" w:rsidTr="00715E66">
        <w:trPr>
          <w:trHeight w:val="315"/>
          <w:jc w:val="center"/>
        </w:trPr>
        <w:tc>
          <w:tcPr>
            <w:tcW w:w="2168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auto"/>
            <w:noWrap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Altro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19,90%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18,60%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FD6877" w:rsidRPr="00FD6877" w:rsidRDefault="00FD6877" w:rsidP="00FD6877">
            <w:pPr>
              <w:spacing w:before="0"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</w:pPr>
            <w:r w:rsidRPr="00FD6877">
              <w:rPr>
                <w:rFonts w:ascii="Calibri" w:eastAsia="Times New Roman" w:hAnsi="Calibri"/>
                <w:color w:val="000000"/>
                <w:sz w:val="22"/>
                <w:szCs w:val="22"/>
                <w:lang w:val="it-IT" w:eastAsia="it-IT"/>
              </w:rPr>
              <w:t>-1,30%</w:t>
            </w:r>
          </w:p>
        </w:tc>
      </w:tr>
    </w:tbl>
    <w:p w:rsidR="00FD6877" w:rsidRDefault="00FD6877" w:rsidP="009279AF">
      <w:pPr>
        <w:spacing w:before="0" w:after="0"/>
        <w:jc w:val="center"/>
        <w:rPr>
          <w:i/>
          <w:sz w:val="24"/>
          <w:szCs w:val="24"/>
          <w:lang w:val="it-IT"/>
        </w:rPr>
      </w:pPr>
    </w:p>
    <w:sectPr w:rsidR="00FD6877" w:rsidSect="001F6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AF"/>
    <w:rsid w:val="000F5D4F"/>
    <w:rsid w:val="001E6A17"/>
    <w:rsid w:val="001F607C"/>
    <w:rsid w:val="002C19C5"/>
    <w:rsid w:val="00545856"/>
    <w:rsid w:val="005E3DA6"/>
    <w:rsid w:val="0069659A"/>
    <w:rsid w:val="006A3F18"/>
    <w:rsid w:val="00715E66"/>
    <w:rsid w:val="007214F5"/>
    <w:rsid w:val="007D51BE"/>
    <w:rsid w:val="00810CB1"/>
    <w:rsid w:val="008F1033"/>
    <w:rsid w:val="00902713"/>
    <w:rsid w:val="009111F5"/>
    <w:rsid w:val="009279AF"/>
    <w:rsid w:val="00A07F2A"/>
    <w:rsid w:val="00A80223"/>
    <w:rsid w:val="00B90016"/>
    <w:rsid w:val="00D01943"/>
    <w:rsid w:val="00D23F1B"/>
    <w:rsid w:val="00EC1A75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9AF"/>
    <w:pPr>
      <w:spacing w:before="200"/>
    </w:pPr>
    <w:rPr>
      <w:rFonts w:eastAsiaTheme="minorEastAsia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8F1033"/>
    <w:pPr>
      <w:keepNext/>
      <w:spacing w:before="0" w:after="0" w:line="240" w:lineRule="auto"/>
      <w:outlineLvl w:val="0"/>
    </w:pPr>
    <w:rPr>
      <w:rFonts w:ascii="Times New Roman" w:eastAsia="Times New Roman" w:hAnsi="Times New Roman"/>
      <w:b/>
      <w:bCs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279AF"/>
    <w:pPr>
      <w:spacing w:after="0"/>
    </w:pPr>
    <w:rPr>
      <w:rFonts w:ascii="Arial" w:eastAsia="Arial" w:hAnsi="Arial" w:cs="Arial"/>
      <w:color w:val="000000"/>
      <w:lang w:eastAsia="ja-JP"/>
    </w:rPr>
  </w:style>
  <w:style w:type="table" w:styleId="Sfondochiaro-Colore3">
    <w:name w:val="Light Shading Accent 3"/>
    <w:basedOn w:val="Tabellanormale"/>
    <w:uiPriority w:val="60"/>
    <w:rsid w:val="009279AF"/>
    <w:pPr>
      <w:spacing w:after="0" w:line="240" w:lineRule="auto"/>
    </w:pPr>
    <w:rPr>
      <w:rFonts w:eastAsiaTheme="minorEastAsia"/>
      <w:color w:val="76923C" w:themeColor="accent3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2">
    <w:name w:val="Light Shading Accent 2"/>
    <w:basedOn w:val="Tabellanormale"/>
    <w:uiPriority w:val="60"/>
    <w:rsid w:val="009279AF"/>
    <w:pPr>
      <w:spacing w:after="0" w:line="240" w:lineRule="auto"/>
    </w:pPr>
    <w:rPr>
      <w:rFonts w:eastAsiaTheme="minorEastAsia"/>
      <w:color w:val="943634" w:themeColor="accent2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itolo1Carattere">
    <w:name w:val="Titolo 1 Carattere"/>
    <w:basedOn w:val="Carpredefinitoparagrafo"/>
    <w:link w:val="Titolo1"/>
    <w:rsid w:val="008F103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8F1033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0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033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9AF"/>
    <w:pPr>
      <w:spacing w:before="200"/>
    </w:pPr>
    <w:rPr>
      <w:rFonts w:eastAsiaTheme="minorEastAsia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8F1033"/>
    <w:pPr>
      <w:keepNext/>
      <w:spacing w:before="0" w:after="0" w:line="240" w:lineRule="auto"/>
      <w:outlineLvl w:val="0"/>
    </w:pPr>
    <w:rPr>
      <w:rFonts w:ascii="Times New Roman" w:eastAsia="Times New Roman" w:hAnsi="Times New Roman"/>
      <w:b/>
      <w:bCs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279AF"/>
    <w:pPr>
      <w:spacing w:after="0"/>
    </w:pPr>
    <w:rPr>
      <w:rFonts w:ascii="Arial" w:eastAsia="Arial" w:hAnsi="Arial" w:cs="Arial"/>
      <w:color w:val="000000"/>
      <w:lang w:eastAsia="ja-JP"/>
    </w:rPr>
  </w:style>
  <w:style w:type="table" w:styleId="Sfondochiaro-Colore3">
    <w:name w:val="Light Shading Accent 3"/>
    <w:basedOn w:val="Tabellanormale"/>
    <w:uiPriority w:val="60"/>
    <w:rsid w:val="009279AF"/>
    <w:pPr>
      <w:spacing w:after="0" w:line="240" w:lineRule="auto"/>
    </w:pPr>
    <w:rPr>
      <w:rFonts w:eastAsiaTheme="minorEastAsia"/>
      <w:color w:val="76923C" w:themeColor="accent3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2">
    <w:name w:val="Light Shading Accent 2"/>
    <w:basedOn w:val="Tabellanormale"/>
    <w:uiPriority w:val="60"/>
    <w:rsid w:val="009279AF"/>
    <w:pPr>
      <w:spacing w:after="0" w:line="240" w:lineRule="auto"/>
    </w:pPr>
    <w:rPr>
      <w:rFonts w:eastAsiaTheme="minorEastAsia"/>
      <w:color w:val="943634" w:themeColor="accent2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itolo1Carattere">
    <w:name w:val="Titolo 1 Carattere"/>
    <w:basedOn w:val="Carpredefinitoparagrafo"/>
    <w:link w:val="Titolo1"/>
    <w:rsid w:val="008F103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8F1033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0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03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.camcom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emanuela.croci</dc:creator>
  <cp:lastModifiedBy>Emanuela Croci</cp:lastModifiedBy>
  <cp:revision>19</cp:revision>
  <cp:lastPrinted>2014-03-03T10:16:00Z</cp:lastPrinted>
  <dcterms:created xsi:type="dcterms:W3CDTF">2014-03-03T09:01:00Z</dcterms:created>
  <dcterms:modified xsi:type="dcterms:W3CDTF">2014-03-03T10:27:00Z</dcterms:modified>
</cp:coreProperties>
</file>